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Мазуриной Светланы Васильевны на нарушение ее конституционных прав частью четвертой статьи 403, статьей 405, частью третьей статьи 406, частями первой и второй статьи 407 и частью первой статьи 408 Уголовно-процессуального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гражданки С.В.Мазуриной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С.В.Мазуриной материалы, не находит оснований для принятия ее жалобы к рассмотрению. По смыслу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Мазуриной Светланы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