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2180-О/2024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Асинской Натальи Анатольевны на нарушение ее конституционных прав положениями статей 8, 57, 129 и 135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Н.А.Асинской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Н.А.Асинская оспаривает конституционность следующих положений Трудового кодекса Российской Федерации: части первой статьи 8, согласно которой работодатели, за исключением работодателей – физических лиц, не являющихся индивидуальными предпринимателями, принимают локальные нормативные акты, содержащие нормы трудового права, в пределах своей компетенции в соответствии с трудовым законодательством и иными нормативными правовыми актами, содержащими нормы трудового права, коллективными договорами, соглашениями; 2 части второй статьи 57, а фактически ее абзаца пятого, закрепляющего, что обязательными для включения в трудовой договор являются условия оплаты труда (в том числе размер тарифной ставки или оклада (должностного оклада) работника, доплаты, надбавки и поощрительные выплаты); части первой статьи 129, определяющей заработную плату (оплату труда работника) как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 и иные выплаты компенсационного характера) и стимулирующие выплаты (доплаты и надбавки стимулирующего характера, премии и иные поощрительные выплаты); частей первой и второй статьи 135, предусматривающих, что заработная плата работнику устанавливается трудовым договором в соответствии с действующими у данного работодателя системами оплаты труда; системы оплаты труда, включая размеры тарифных ставок, окладов (должностных окладов), доплат и надбавок компенсационного характера, в том числе за работу в условиях, отклоняющихся от нормальных, системы доплат и надбавок стимулирующего характера и системы премирования,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Как следует из материалов жалобы, Н.А.Асинская, начальник юридического отдела федерального государственного бюджетного образовательного учреждения высшего образования, со дня трудоустройства получала заработную плату, состоящую из оклада, размер которого был указан в трудовом договоре, и надбавок, предусмотренных 3 локальным нормативным актом работодателя, в том числе надбавки за интенсивность, выплачиваемой ежемесячно из средств субсидии на выполнение государственного задания на основании приказа ректора. Впоследствии размер названной надбавки был значительно уменьшен, в связи с чем заявительница обратилась в суд с иском о признании незаконным изменения условий труда в части уменьшения размера надбавки, взыскании недополученной части заработной платы и компенсации морального вреда, в удовлетворении которого ей было отказано. При этом суды указали, что названная надбавка является стимулирующей выплатой, установление которой является правом работодателя, а размер определяется в зависимости от имеющихся у работодателя денежных средств, в связи с чем отклонили доводы заявительницы о том, что имело место изменение условий трудового договора. По мнению заявительницы, оспариваемые положения не соответствуют статьям 7, 19 (части 1 и 2), 37 (часть 3), 55 (часть 3), 75 (часть 5) и 751 Конституции Российской Федерации в той мере, в какой они в системе действующего правового регулирования по смыслу, придаваемому им правоприменительной практикой, в том числе в ее деле, позволяют работодателю в одностороннем порядке путем издания локальных нормативных актов формировать систему оплаты труда, включающую не указанные в трудовом договоре надбавки, не зависящие от результативности труда работника, регулярно выплачиваемые со дня трудоустройства и составляющие большую часть заработной платы, которые рассматриваются судами как выплаты стимулирующего характера, а не как регулярная, постоянная часть заработной платы. Это приводит к предоставлению работодателю возможности уменьшать размер таких надбавок без соблюдения правил об изменении трудового договора (статьи 72 и 74 Трудового кодекса Российской Федерации), чем нарушается право работника на справедливое вознаграждение за труд. 4 Оспариваемые нормы применены в деле заявительницы судами общей юрисдикции.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8 Трудового кодекса Российской Федерации направлена на обеспечение реализации полномочий работодателя по организации труда (часть первая). При этом данная статья ограничивает право работодателя устанавливать нормативное регулирование по своему усмотрению, обязывая его учитывать мнение представительного органа работников в случаях, предусмотренных указанным Кодексом, другими федеральными законами и иными нормативными правовыми актами, коллективным договором, соглашениями (часть вторая), и закрепляя, что нормы локальных нормативных актов, ухудшающие положение работников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а также локальные нормативные акты, принятые без соблюдения установленного порядка учета мнения представительного органа работников, не подлежат применению (часть четвертая). Такое правовое регулирование направлено на согласование интересов работника и работодателя как сторон трудового договора и не может расцениваться в качестве нарушающего права работников (определения Конституционного Суда Российской Федерации от 26 сентября 2019 года Заработная плата работника в соответствии с Трудовым кодексом Российской Федерации может состоять из вознаграждения за труд, а также компенсационных и стимулирующих выплат (часть первая статьи 129) и зависит от его квалификации, сложности выполняемой работы, количества и качества затраченного труда (часть первая статьи 5 132). Условие о заработной плате конкретного работника согласовывается и закрепляется в трудовом договоре в соответствии с действующими у данного работодателя системами оплаты труда, устанавливаемыми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(абзац пятый части второй статьи 57, части первая и вторая статьи 135).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Асинской Натальи Анатольевны,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