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Панченко Ивана Александровича на нарушение его конституционных прав пунктами 1 и 4 части 4 статьи 180, пунктами 8 и 9 части 3 статьи 205, частью 1 статьи 250, частью 4 статьи 258 и частью 1 статьи 328 Кодекса административного судопроизводства Российской Федерации, а также частью третьей статьи 61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И.А.Панченко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И.А.Панченко оспаривает конституционность следующих законоположений: пунктов 1 и 4 части 4 статьи 180 «Содержание решения суда», пунктов 8 и 9 части 3 статьи 205 «Содержание протокола», части 1 статьи 250 «Право на обращение в суд с административным исковым заявлением о присуждении компенсации за нарушение права на судопроизводство в разумный срок или права на исполнение судебного акта в разумный срок», 2 части 4 статьи 258 «Рассмотрение административного дела о присуждении компенсации» и части 1 статьи 328 «Основания для отмены или изменения судебных актов в кассационном порядке» КАС Российской Федерации; части третьей статьи 61 «Разумный срок уголовного судопроизводства» УПК Российской Федерации. Из представленных материалов следует, что решением суда общей юрисдикции, с которым согласились вышестоящие суды, было отказано в удовлетворении административного искового заявления И.А.Панченко о присуждении компенсации за нарушение права на судопроизводство в разумный срок. Как установили суды, общий срок производства по уголовному делу заявителя составил 1 год 7 месяцев 22 дня и являлся разумным. По мнению заявителя, оспариваемые нормы не соответствуют статьям 2, 18, 45 (часть 1), 46 (часть 1), 52, 53, 120 (часть 1) и 123 (часть 1) Конституции Российской Федерации и положениям Конвенции о защите прав человека и основных свобод: пункт 4 части 4 статьи 180, часть 1 статьи 250, часть 4 статьи 258 КАС Российской Федерации и часть третья статьи 61 УПК Российской Федерации – поскольку содержат неопределенные критерии разумности срока уголовного судопроизводства и основания для установления факта нарушения права на судопроизводство по уголовному делу в разумный срок; пункт 1 части 4 статьи 180, пункты 8 и 9 части 3 статьи 205 и часть 1 статьи 328 КАС Российской Федерации – поскольку закрепляют основания для отмены или изменения судебных актов в кассационном порядке судебной коллегией Верховного Суда Российской Федерации, не обеспечивающие эффективную судебную защиту в случаях неправильного установления фактических обстоятельств судом первой инстанции или нарушения требований к содержанию протокола.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Панченко Ивана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