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2817-О/2023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«АКАМА» на нарушение его конституционных прав положениями статей 1484 и 1486 Гражданского кодекса Российской Федерации и статьи 2916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«АКАМА»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«АКАМА» (далее – ООО «АКАМА») оспаривает конституционность части 8 статьи 2916 «Рассмотрение кассационных жалобы, представления в Судебной коллегии Верховного Суда Российской Федерации» АПК Российской Федерации. По мнению заявителя, данная норма во взаимосвязи со статьями 15 «Судебные акты арбитражного суда, Верховного Суда Российской Федерации», 112 «Разрешение вопросов о судебных расходах», 166 «Окончание рассмотрения дела по существу», 184 «Вынесение арбитражным судом определений», 188 «Порядок и сроки обжалования определений», 290 2 «Кассационные жалобы на определения арбитражного суда первой и апелляционной инстанций», 291 «Жалобы на определение арбитражного суда кассационной инстанции» того же Кодекса, Постановлением Конституционного Суда Российской Федерации от 12 июля 2018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Статья 1484 ГК Российской Федерации обеспечивает реализацию статьи 44 (часть 1) Конституции Российской Федерации (Определение Конституционного Суда Российской Федерации от 30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«АКАМА»,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