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Лопатиной Татьяны Евгеньевны на нарушение ее конституционных прав пунктом 152, подпунктом «ж» пункта 161 и пунктом 19 статьи 12 Федерального закона «Об обязательном страховании гражданской ответственности владельцев транспортных средств», а также пунктом 3.5 Положения Банка России «О единой методике определения размера расходов на восстановительный ремонт в отношении поврежденного транспортного средства»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Т.Е.Лопатиной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Т.Е.Лопатина оспаривает конституционность следующих положений статьи 12 Федерального закона от 25 апреля 2002 года № 40-ФЗ «Об обязательном страховании гражданской ответственности владельцев транспортных средств»: пункта 152, а фактически – его абзаца четвертого, закрепляющего требование по сохранению гарантийных обязательств производителя транспортного средства (восстановительный ремонт транспортного средства, 2 с года выпуска которого прошло менее двух лет, должен осуществляться станцией технического обслуживания, являющейся юридическим лицом или индивидуальным предпринимателем, зарегистрированными на территории Российской Федерации и осуществляющими сервисное обслуживание таких транспортных средств от своего имени и за свой счет в соответствии с договором, заключенным с производителем и (или) импортером (дистрибьютором) транспортных средств определенных марок); подпункта «ж» пункта 161, в соответствии с которым в случае наличия соглашения в письменной форме между страховщиком и потерпевшим (выгодоприобретателем)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путем почтового перевода суммы страховой выплаты потерпевшему (выгодоприобретателю) или ее перечисления на банковский счет потерпевшего (выгодоприобретателя); пункта 19, а фактически – его абзаца второго, закрепляющего, что размер расходов на запасные части (за исключением случаев возмещения причиненного вреда в порядке, предусмотренном пунктами 151–153 данной статьи)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агрегаты) не может начисляться износ свыше 50 процентов их стоимости. Заявительница также оспаривает конституционность пункта 3.5 Положения Банка России от 19 сентября 2014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4 Оспариваемые положения статьи 12 Федерального закона «Об обязательном страховании гражданской ответственности владельцев транспортных средств», являющиеся элементами института страхования риска гражданской ответственности владельцев транспортных средств, основанного на принципе разделения ответственности, – предусматривая правила, в соответствии с которыми страховое возмещение (в виде денежной суммы) выплачивается в пределах, предусмотренных законом, – направлены на обеспечение баланса экономических интересов участвующих в страховом правоотношении лиц, на доступность цены договора обязательного страхования гражданской ответственности владельцев транспортных средств, а также на предотвращение противоправных внеюрисдикционных механизмов разрешения споров. При этом подпункт «ж» пункта 161 статьи 12 указанного Федерального закона, дозволяющий по соглашению между потерпевшим и страховщиком произвести замену формы страхового возмещения с натуральной (путем организации и проведения ремонта транспортного средства) на денежную, соответствует конституционному принципу свободы договора и позволяет потерпевшему, получив страховое возмещение в денежной форме, произвести ремонт транспортного средства, в отношении которого действует гарантия качества, на аккредитованной станции технического обслуживания. Названный Федеральный закон, будучи специальным нормативным актом, вместе с тем не отменяет действия общих норм гражданского права об обязательствах из причинения вреда между потерпевшим и причинителем вреда, а потому потерпевший при недостаточности страховой выплаты на покрытие причиненного ему ущерба вправе рассчитывать на восполнение образовавшейся разницы за счет лица, противоправное поведение которого вызвало этот ущерб, путем предъявления ему соответствующего требования. Таким образом, оспариваемые положения не могут расцениваться как нарушающие в указанном в жалобе аспекте конституционные права заявительницы, в деле с участием которой суды пришли к выводу, что заключение соглашения о замене формы страхового возмещения было 5 добровольным, что исключает возникновение обязанности страховщика по организации ремонта транспортного средства. Установление же и исследование фактических обстоятельств конкретного дела (в частности, относительно заключения соглашения о форме осуществления страхового возмещения), а также проверка правильности применения правовых норм с учетом указанных обстоятельств, на что фактически направлены доводы заявительницы, не входят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Что касается пункта 3.5 Положения Банка России «О единой методике определения размера расходов на восстановительный ремонт в отношении поврежденного транспортного средства», то проверка его конституционности также не относится к полномочиям Конституционного Суда Российской Федерации, как она определена указанными нормами Конституции Российской Федерации и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Лопатиной Татьяны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