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Вандаевой Анны Владимировны на нарушение ее конституционных прав частями 16 и 17 статьи 16 Федерального закона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А.В.Вандаевой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застройщика и оставленным без изменения постановлением арбитражного апелляционного суда, было удовлетворено заявление гражданки А.В.Вандаевой о замене в порядке процессуального правопреемства кредитора – хозяйственного общества на А.В.Вандаеву в реестре требований участников строительства в части передачи ряда квартир. Постановлением суда кассационной инстанции указанные судебные акты 2 отменены, в удовлетворении заявления А.В.Вандаевой о процессуальном правопреемстве отказано. А.В.Вандаева оспаривает конституционность частей 16 и 17 статьи 16 Федерального закона от 27 июня 2019 года № 151-ФЗ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Федерации». По мнению заявительницы, данные законоположения противоречат статьям 8, 34, 40 и 55 Конституции Российской Федерации в той мере, в какой они допускают применение закона с обратной силой к правоотношениям между юридическим лицом и физическим лицом, приобретающим право требования на получение жилого помещения по договору уступки права требования. Кроме того, заявительница просит отменить постановление арбитражного суда кассационной инстанции, вынесенное по ее делу, и направить дело на новое рассмотрение.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4 ГК Российской Федерации акты гражданского законодательства не имеют обратной силы и применяются к отношениям, возникшим после введения их в действие; действие закона распространяется на отношения, возникшие до введения его в действие, только в случаях, когда это прямо предусмотрено законом. Как неоднократно указывалось в решениях Конституционного Суда Российской Федерации, придание обратной силы закону – исключительный тип его действия во времени, использование которого относится к прерогативе законодателя; только он вправе распространить новую норму на факты и порожденные ими правовые последствия, возникшие до ее введения в действие, т.е. придать закону обратную силу (ретроактивность), либо, напротив, допустить в определенных случаях возможность применения 3 утратившей силу нормы (ультраактивность); при этом либо в тексте закона, либо в правовом акте о порядке его вступления в силу содержится специальное указание о таком действии во времени (постановления от 22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Вандаевой Анны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