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«Индустриально-технический центр» на нарушение его конституционных прав подпунктом 2 пункта 1 статьи 2011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«Индустриально-технический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хозяйственного общества общество с ограниченной ответственностью «Индустриально- технический центр» (далее также – ООО «ИТЦ») обратилось в арбитражный суд с заявлением о включении суммы неустойки в реестр требований кредиторов должника, а также о включении в реестр требований участников строительства требования о передаче квартир как обеспеченных залогом. Определением арбитражного суда, оставленным без изменения постановлениями судов апелляционной и кассационной инстанций, требование в размере 11 709 600 руб. долга и 1 434 230,84 руб. неустойки 2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кредиторов; в остальной части заявление оставлено без удовлетворения. При этом суды исходили, в частности, из того, что ООО «ИТЦ» не является участником строительства в том смысле, который придается этому понятию Федеральным законом от 26 октября 2002 года № 127-ФЗ «О несостоятельности (банкротстве)» для реализации жилищных прав граждан, в связи с чем его требование о передаче жилых помещений носит реестровый характер и подлежит трансформации в денежное с удовлетворением в составе четвертой очереди. ООО «ИТЦ» оспаривает конституционность подпункта 2 пункта 1 статьи 2011 Федерального закона «О несостоятельности (банкротстве)», определяющего понятие «участник строительства». По мнению заявителя, применение судами данной нормы в действующей редакции, введенной Федеральным законом от 27 июня 2019 года № 151-ФЗ, в деле о банкротстве, возбужденном до вступления названного Федерального закона в силу, позволившее не признать ООО «ИТЦ» участником строительства, противоречит Конституции Российской Федерации, в частности ее статье 19.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4 ГК Российской Федерации акты гражданского законодательства не имеют обратной силы и применяются к отношениям, возникшим после введения их в действие; действие закона распространяется на отношения, возникшие до введения его в действие, только в случаях, когда это прямо предусмотрено законом. Как неоднократно указывалось в решениях Конституционного Суда Российской Федерации, придание обратной силы закону – исключительный тип его действия во времени, использование которого относится к прерогативе законодателя; только он вправе распространить новую норму на 3 факты и порожденные ими правовые последствия, возникшие до ее введения в действие, т.е. придать закону обратную силу (ретроактивность), либо, напротив, допустить в определенных случаях возможность применения утратившей силу нормы (ультраактивность); при этом либо в тексте закона, либо в правовом акте о порядке его вступления в силу содержится специальное указание о таком действии во времени (постановления от 22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«Индустриально-технический 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