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Борисовой Натальи Вячеславовны на нарушение ее конституционных прав положениями статьи 159 Уголовного кодекса Российской Федерации, пункта 4 части первой статьи 73 и пункта 4 части второй статьи 171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Н.В.Борисовой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апелляционным определением) гражданка Н.В.Борисова признана виновной в совершении путем обмана и злоупотребления доверием хищений денежных средств у 37 потерпевших. Кассационный суд общей юрисдикции отклонил доводы стороны защиты о том, что сумма похищенного должна определяться на момент возбуждения уголовного дела ввиду того, что Н.В.Борисова регулярно возвращала часть денежных 2 средств потерпевшим. Судья Верховного Суда Российской Федерации, отказывая в передаче кассационной жалобы для рассмотрения в судебном заседании суда кассационной инстанции, указал на установленные в приговоре суда факты отсутствия у Н.В.Борисовой реальной возможности возврата денежных средств потерпевшим и на то, что ею осуществлены лишь незначительные платежи потерпевшим. Не нашел оснований для отмены состоявшихся судебных решений и заместитель Председателя Верховного Суда Российской Федерации. В этой связи заявительница просит признать положения статьи 159 «Мошенничество» УК Российской Федерации, пункта 4 части первой статьи 73 «Обстоятельства, подлежащие доказыванию» и пункта 4 части второй (обозначенной в жалобе как часть первая) статьи 171 «Порядок привлечения в качестве обвиняемого» УПК Российской Федерации не соответствующими статьям 17, 18, 21, 22 (часть 1), 23–25, 45, 49, 50 (часть 2) и 53–55 Конституции Российской Федерации. По ее мнению, оспариваемые нормы по смыслу, придаваемому им правоприменительной практикой, позволяют квалифицировать деяние как оконченное хищение, учитывая сумму не только реально причиненного, но и предполагаемого (планируемого) ущерба, а также допускают возможность не исключать из объема обвинения суммы возвращенных до возбуждения уголовного дела денежных средств, ссылаясь на охват умыслом всего объема средств, полученных от потерпевших.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Уголовному кодексу Российской Федерации основанием уголовной ответственности является совершение деяния, содержащего все признаки состава преступления, предусмотренного данным Кодексом (статья 8). При этом общественно опасные последствия совершенного преступления – в зависимости от конструкции его состава (материального либо формального) – могут входить или не входить в число признаков, 3 обязательных для его признания оконченным (постановления Конституционного Суда Российской Федерации от 7 апреля 2015 года № 7- П,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Борисовой Натальи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