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Томаева Таймураза Витальевича на нарушение его конституционных прав рядом положений Гражданского процессуального кодекса Российской Федерации и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Т.В.Томаева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Т.В.Томаев, который в ноябре 2020 года был уволен со службы в органах внутренних дел Российской Федерации в связи с совершением проступка, порочащего честь сотрудника органов внутренних дел Российской Федерации, оспаривает конституционность следующих норм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2 части 1 статьи 49, определяющей содержание категории «нарушение служебной дисциплины»; пункта 6 части 2 статьи 82, закрепляющего, что контракт о прохождении службы в органах внутренних дел может быть расторгнут, а сотрудник органов внутренних дел может быть уволен со службы в органах внутренних дел в связи с грубым нарушением служебной дисциплины, и пункта 9 части 3 данной статьи, устанавливающего, что контракт подлежит расторжению, а сотрудник органов внутренних дел увольнению со службы в органах внутренних дел в связи с совершением проступка, порочащего честь сотрудника органов внутренних дел. По мнению заявителя, оспариваемые положения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не соответствуют статьям 19, 45 и 46 Конституции Российской Федерации, поскольку в силу своей неопределенности они допускают произвольное понимание судами общей юрисдикции категории «проступок, порочащий честь сотрудника органов внутренних дел». Заявитель также оспаривает конституционность статей 12 «Осуществление правосудия на основе состязательности и равноправия сторон», 55 «Доказательства», 67 «Оценка доказательств», 196 «Вопросы, разрешаемые при принятии решения суда» и пункта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Т.В.Томаев полагает, что указанные статьи Гражданского процессуального кодекса Российской Федерации противоречат статьям 1 (часть 1), 6 (часть 2), 17 (часть 3), 19, 45 и 46 Конституции Российской Федерации, поскольку позволяют в силу своей неопределенности судам уклоняться от исследования каждого доказательства по делу, не соблюдать принцип состязательности и равноправия сторон, использовать доказательства, которые не имеют отношения к рассматриваемому делу, а пункт 5 статьи 3909 данного 3 Кодекса позволяет судьям судов кассационной инстанции при рассмотрении кассационных жалоб не исследовать все доводы, изложенные в них, не в полной мере указывать мотивы, по которым отказано в передаче кассационной жалобы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Томаева Таймураза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