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Перминовой Марии Владимировны на нарушение ее конституционных прав статьей 129, частями первой и третьей статьи 133, а также частями первой – четвертой и одиннадцатой статьи 1331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М.В.Перминовой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М.В.Перминова оспаривает конституционность следующих положений Трудового кодекса Российской Федерации: статьи 129, содержащей понятие «заработная плата (оплата труда работника)», а также определения тарифной ставки (часть третья), оклада (должностного оклада) (часть четвертая), базового оклада (базового должностного оклада), базовой ставки заработной платы (часть пятая); части первой статьи 133, согласно которой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2 прожиточного минимума трудоспособного населения, а также части третьей данной статьи, устанавливающей, что 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частей первой – четвертой статьи 1331, содержащих правила установления размера минимальной заработной платы в субъекте Российской Федерации, размер которой не может быть ниже минимального размера оплаты труда, установленного федеральным законом, а также части одиннадцатой этой статьи, закрепляющей, что 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действует региональное соглашение о минимальной заработной плате либо на которого оно распространено в установленном порядке,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 По мнению заявительницы, являющейся педагогическим работником муниципального бюджетного учреждения дополнительного образования, оспариваемые нормы не соответствуют статьям 7 (часть 2), 17 (часть 1), 19 (части 1 и 2), 37 (часть 3) и 55 (часть 2)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работодателю устанавливать работнику заработную плату, размер которой превышает минимальный размер оплаты труда за счет включения оплаты за дополнительную работу по такой же профессии (должности) сверх определенной трудовым договором нормы часов учебной работы, а также стимулирующих выплат. Оспариваемые нормы применены в деле заявительницы судами общей юрисдикции.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 Относительно довода заявительницы о нарушении оспариваемыми положениями прав граждан как позволяющими работодателю включать в состав заработной платы (части заработной платы) педагогического работника, не превышающей минимального размера оплаты труда, стимулирующие выплаты,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Перминовой Марии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