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Емельянова Вячеслава Анатольевича на нарушение его конституционных прав пунктами 7 и 8 статьи 16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В.А.Емельянова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В.А.Емельянов оспаривает конституционность пунктов 7 и 8 статьи 16 «Неприкосновенность судьи» Закона Российской Федерации от 26 июня 1992 года № 3132-I «О статусе судей в Российской Федерации». Из представленных материалов следует, что решением Высшей квалификационной коллегии судей Российской Федерации от 12 июля 2021 года было удовлетворено представление Председателя Следственного комитета Российской Федерации о даче согласия на возбуждение уголовного дела в отношении заявителя, имеющего статус судьи в отставке, по признакам преступления, предусмотренного частью третьей статьи 2041 УК 2 Российской Федерации (посредничество в коммерческом подкупе, совершенное в особо крупном размере, два эпизода). Решением Верховного Суда Российской Федерации от 26 октября 2021 года, оставленным без изменения апелляционным определением Апелляционной коллегии Верховного Суда Российской Федерации от 1 февраля 2022 года, В.А.Емельянову отказано в удовлетворении административного искового заявления об отмене указанного решения Высшей квалификационной коллегии судей Российской Федерации. Определением судьи Верховного Суда Российской Федерации от 4 июля 2022 года было отказано в передаче для рассмотрения в судебном заседании Президиума Верховного Суда Российской Федерации надзорной жалобы заявителя на указанные судебные акты. Верховный Суд Российской Федерации пришел к выводу о том, что уголовное преследование заявителя не связано с осуществлением им профессиональной деятельности судьи, а также указал, что решение Высшей квалификационной коллегии судей Российской Федерации основано на надлежащей оценке представленных следственным органом материалов, совокупность которых содержит достаточные данные о признаках совершенного преступления. По мнению В.А.Емельянова, оспариваемые законоположения не соответствуют Конституции Российской Федерации, в частности ее статьям 120 и 122, поскольку по смыслу, придаваемому им правоприменительной практикой, допускают произвольное возбуждение уголовного дела в отношении судьи, предполагают формальную оценку связи между уголовным преследованием и профессиональной деятельностью судьи, а также позволяют игнорировать допущенные должностными лицами нарушения процедуры привлечения судьи к уголовной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правовой позиции Конституционного Суда Российской Федерации, выраженной в Постановлении от 7 марта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Емельянова Вячеслава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