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365-О/2024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Малафеева Михаила Сергеевича на нарушение его конституционных прав статьей 3271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М.С.Малафеева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М.С.Малафеев оспаривает конституционность статьи 3271 «Пределы рассмотрения дела в суде апелляционной инстанции» ГПК Российской Федерации. Как следует из представленных материалов, М.С.Малафеев обратился в суд с иском к гражданину К. о возмещении материального ущерба, причиненного дорожно-транспортным происшествием (включая стоимость восстановительного ремонта автомобиля в размере 2 954 200 рублей). Исковые требования М.С.Малафеева были частично удовлетворены судом первой инстанции: в пользу истца взыскано 125 532 рубля, из которых 123 900 рублей – сумма восстановительного ремонта автомобиля, 2 установленная судом на основании результатов назначенной по делу судебной автотехнической экспертизы. В удовлетворении ходатайства М.С.Малафеева о назначении по делу повторной экспертизы судом было отказано. В ходе рассмотрения дела судом апелляционной инстанции была назначена (в том числе по ходатайству М.С.Малафеева) повторная судебная экспертиза, которая установила стоимость восстановительного ремонта автомобиля в размере 199 300 рублей. Суд апелляционной инстанции, изменив решение суда первой инстанции, взыскал данную сумму в пользу истца. При этом судом со ссылкой на положения статьи 3271 ГПК Российской Федерации было отказано в приобщении к материалам дела заявления истца об изменении размера исковых требований. Кассационным судом общей юрисдикции апелляционное определение в части разрешения вопроса о распределении расходов истца на оплату рецензии на экспертное заключение было отправлено на новое рассмотрение в суд апелляционной инстанции, в остальной части – оставлено без изменения.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этого суда. По мнению М.С.Малафеева, оспариваемое законоположение противоречит статьям 2, 7, 15 (части 1 и 2), 17 (части 1 и 2), 18, 19 (части 1 и 2), 38 (часть 1), 39 (части 1 и 2), 41 (части 1 и 2), 42, 45 (часть 1), 46 и 55 (часть 3) Конституции Российской Федерации, поскольку не гарантирует гражданам, пострадавшим в результате дорожно-транспортного происшествия, права на возмещение вреда путем подачи уточненных исковых требований после проведения назначенной судом апелляционной инстанции повторной (дополнительной) судебной экспертизы, установившей размер причиненного вреда.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Малафеева Михаила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