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Чернощекова Владислава Анатольевича на нарушение его конституционных прав частью первой статьи 259, частью первой статьи 260 и пунктом 11 части второй статьи 38917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В.А.Чернощекова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определением краевого суда оставлен без изменения вынесенный в отношении гражданина В.А.Чернощекова приговор. При этом отмечено, что сам по себе факт утраты по техническим причинам аудиозаписи судебного заседания не влечет за собой безусловную отмену судебного решения. С такими решениями согласились суды кассационной инстанции. В этой связи заявитель просит признать не соответствующими статьям 18, 45, 46 (часть 1) и 55 (части 2 и 3) Конституции Российской Федерации часть первую статьи 259 «Протокол судебного заседания», часть первую статьи 260 «Замечания на протокол и аудиозапись судебного заседания» во взаимосвязи с 2 пунктом 11 части второй статьи 38917 «Существенные нарушения уголовно- процессуального закона» УПК Российской Федерации в той мере, в какой они позволяют суду первой инстанции необоснованно отклонять поданные на протокол судебного заседания замечания, не предусматривая при этом возможность самостоятельного обжалования постановления судьи об отклонении таких замечаний, а судам вышестоящих инстанций – не отменять приговор при отсутствии в деле аудиопротокола судебного разбирательства.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Чернощекова Владислава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