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Лисукова Сергея Николаевича на нарушение его конституционных прав пунктом 2 статьи 81 Гражданского кодекса Российской Федерации, а также частью 1 и пунктом 5 части 2 статьи 153, частями 2 и 4 статьи 154 и частью 1 статьи 158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С.Н.Лисукова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С.Н.Лисуков оспаривает конституционность пункта 2 статьи 81 «Государственная регистрация прав на имущество» ГК Российской Федерации во взаимосвязи с частью 1 и пунктом 5 части 2 статьи 153 «Обязанность по внесению платы за жилое помещение и коммунальные услуги», частями 2 и 4 статьи 154 «Структура платы за жилое помещение и коммунальные услуги» и частью 1 статьи 158 «Расходы собственников помещений в многоквартирном доме» Жилищного кодекса Российской Федерации. 2 Как следует из представленных материалов, решением суда общей юрисдикции (с учетом дополнительного решения), оставленным без изменения определением суда апелляционной инстанции, удовлетворены исковые требования к С.Н.Лисукову, за которым решением суда по другому делу признано право собственности на супружескую долю в наследственном имуществе (далее также – доля), и соответчикам о взыскании задолженности по плате за жилое помещение. Суд апелляционной инстанции не принял во внимание довод заявителя о возникновении у него обязанности вносить плату за жилое помещение и коммунальные услуги с момента регистрации права собственности на долю, отметив, что сам по себе акт регистрации носит правоподтверждающий характер и не считается самостоятельным основанием возникновения гражданских прав.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во взаимосвязи противоречат Конституции Российской Федерации, ее статьям 2, 17 (часть 3), 18, 19, 30 (часть 2), 35 (части 1 и 2), 46 (часть 1), 55 (части 2 и 3) и 751, поскольку они по смыслу, придаваемому им правоприменительной практикой, позволяют судам взыскивать денежные средства за коммунальные услуги за период, когда лицо не является собственником недвижимости; содержат неопределенность в отношении момента возникновения обязанности по внесению платы за содержание жилого помещения и коммунальные услуги.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Лисукова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