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Попока Геннадия Викторовича на нарушение его конституционных прав пунктом 1 статьи 196, статьями 399 и 419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Г.В.Попока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Г.В.Попок оспаривает конституционность следующих положений Гражданского кодекса Российской Федерации: пункта 1 статьи 196, устанавливающего, что общий срок исковой давности составляет три года со дня, определяемого в соответствии со статьей 200 того же Кодекса; статьи 399, регламентирующей порядок привлечения к субсидиарной ответственности; статьи 419, согласно которой обязательство прекращается ликвидацией юридического лица (должника или кредитора), кроме случаев, когда законом или иными правовыми актами исполнение обязательства ликвидированного 2 юридического лица возлагается на другое лицо (по требованиям о возмещении вреда, причиненного жизни или здоровью, и др.). Как следует из приложенных к жалобе материалов, на основании статьи 1085 ГК Российской Федерации с ООО «Б.» в пользу заявителя взысканы доход, утраченный им за время прохождения лечения, и компенсация морального вреда. Впоследствии названное хозяйственное общество было признано недействующим и исключено из Единого государственного реестра юридических лиц, при этом обязательство перед Г.В.Попоком к этому моменту не было исполнено в полном объеме. В связи с этим заявитель обратился в суд с требованиями, направленными на привлечение ряда лиц, в том числе учредителя ООО «Б.», к субсидиарной ответственности. Решением суда общей юрисдикции, оставленным без изменения судами вышестоящих инстанций, в удовлетворении иска в этой части отказано. Суды пришли к выводу об отсутствии оснований для привлечения учредителя указанного хозяйственного общества к субсидиарной ответственности и исходили из того, что Г.В.Попок обратился в суд по истечении срока исковой давности, при этом доказательств наличия уважительных причин пропуска срока им не представлено.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нормы противоречат статьям 2, 7 (часть 2), 46 (часть 1) Конституции Российской Федерации в той мере, в какой они позволяют отказывать в привлечении к субсидиарной ответственности лиц, контролировавших общество с ограниченной ответственностью (должника), которое исключено из ЕГРЮЛ, по денежным обязательствам этого общества, связанным с возмещением вреда, причиненного здоровью кредитора, а также применять к данному требованию общий срок исковой давности.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Попока Геннадия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