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Зайцева Владимира Николаевича на нарушение его конституционных прав пунктом 9 статьи 3929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В.Н.Зайцева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В.Н.Зайцев оспаривает конституционность пункта 9 статьи 3929 Земельного кодекса Российской Федерации, закрепляющего основания для принятия уполномоченным органом решения об отказе в заключении соглашения о перераспределении земельных участков. Как следует из представленных материалов и данных публичной кадастровой карты, заявитель, будучи собственником земельного участка с видом разрешенного использования «для индивидуального жилищного строительства» и арендатором двух смежных земельных участков, относящихся к публичной собственности, с видом разрешенного использования «для временного размещения объекта движимого имущества 2 (организации территории благоустройства)», обратился в орган местного самоуправления с заявлением об утверждении схемы расположения земельного участка на кадастровой карте территории, образуемого путем перераспределения указанных участков (фактически путем их объединения) и подлежащего передаче ему в собственность, но получил отказ, признанный правомерным решением суда общей юрисдикции, с которым согласились суды кассационной инстанции. Суды пришли к выводу о недопустимости перераспределения земельных участков в связи с различиями в видах их разрешенного использования и с невозможностью объединения земельных участков, закрепленных за В.Н.Зайцевым на разном праве (собственности и аренды), отметив также законодательное требование о предоставлении земельного участка, относящегося к публичной собственности, на торгах. По мнению заявителя, оспариваемая норма не соответствует статьям 1, 6 (часть 2), 17 (часть 3), 19 (части 1 и 2), 45 и 46 (часть 1) Конституции Российской Федерации, поскольку она в том числе позволяет судам произвольно устанавливать основания для отказа в перераспределении земельных участков, применяется вопреки позициям Конституционного Суда Российской Федерации и требованиям, изложенным в главе V4 Земельного кодекса Российской Федерации, позволяющим, как отмечено в жалобе, образовать единый земельный участок за счет других, расположенных в одной территориальной зоне с основным видом разрешенного использования «благоустройство территории», в данном случае – сформировать единый земельный участок, объединив при этом виды разрешенного использования, установленные для исходных участков.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иметь имущество, включая землю, в частной собственности (статья 35, часть 2; статья 36, часть 1), вместе с тем не устанавливает условия реализации 3 данного права – они определяются федеральным законодателем в рамках его компетенции (статья 36, часть 3). Действуя в рамках предоставленных полномочий, федеральный законодатель предусмотрел в Земельном кодексе Российской Федерации разные правовые основания и способы приватизации земельных участков и земель, включая продажу земельных участков на торгах (статья 393), а также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(статьи 3928 и 3929). Существующие же различия между указанными способами обусловлены, в частности, особенностями образования земельных участков как объектов земельных и гражданских правоотношений (статьи 112, 117 Земельного кодекса Российской Федерации и др.), различиями в решаемых при этом задачах. Так, перераспределение земель и (или) земельных участков призвано обеспечить прежде всего эффективное и рациональное использование земли (определения Конституционного Суда Российской Федерации от 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Зайцева Владимира Николаевича,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