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частью второй статьи 33, частями третьей, пятой, шестой и седьмой статьи 35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 в составе организованной группы, оспаривает конституционность части второй статьи 33 «Виды соучастников преступления», частей третьей, пятой, шестой и седьмой статьи 35 «Совершение преступления группой лиц, группой лиц по предварительному сговору, организованной группой или преступным сообществом (преступной организацией)» УК Российской Федерации По мнению заявительницы, оспариваемые нормы не соответствуют статьям 1 (часть 1), 2, 4 (часть 2), 15 (части 1 и 2), 17 (части 1 и 3), 18, 19 (части 1 и 2), 45, 46 (часть 1), 49, 50 (части 2 и 3), 55 (часть 3), 751 и 123 (часть 3) 2 Конституции Российской Федерации в той мере, в какой они: не содержат четких критериев устойчивости организованной группы, не конкретизируя продолжительность ее существования, стабильность состава и сплоченность; позволяют признавать организованную группу направленной на совершение тяжких преступлений, которые отнесены к этой категории исключительно ввиду совершения деяния организованной группой; допускают квалификацию преступления как совершенного в составе организованной группы из двух человек без определения признаков вменяемости и без допроса второго участника при невозможности этого в связи с его смертью, но позволяя признавать умершего соисполнителем преступления и членом организованной группы.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