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Кустовой Наталии Владимировны на нарушение ее конституционных прав частью первой статьи 129, частью второй статьи 135 и статьей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Н.В.Кустовой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Н.В.Кустова оспаривает конституционность следующих норм Трудового кодекса Российской Федерации: части первой статьи 129, согласно которой заработная плата (оплата труда работника) – это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2 выплаты компенсационного характера) и стимулирующие выплаты (доплаты и надбавки стимулирующего характера, премии и иные поощрительные выплаты); части второй статьи 135, предусматривающей, что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статьи 191, согласно которой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 (часть первая); другие виды поощрений работников за труд определяются коллективным договором или правилами внутреннего трудового распорядка, а также уставами и положениями о дисциплине; за особые трудовые заслуги перед обществом и государством работники могут быть представлены к государственным наградам (часть вторая). По мнению заявительницы, оспариваемые нормы не соответствуют статьям 19 (часть 1), 21, 37, 55 (часть 3), 75 (часть 5) и 751 Конституции Российской Федерации, поскольку они во взаимосвязи с положениями локальных нормативных актов работодателя позволяют считать выплату премии правом, а не обязанностью работодателя и признавать законным невыплату работодателем работнику стимулирующей части заработной платы (премии) при выполнении работником установленных показателей премирования. Оспариваемые нормы применены в деле заявительницы судами общей юрисдикции.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Заработная плата работника в соответствии с частью первой статьи 129 Трудового кодекса Российской Федерации может состоять из вознаграждения за труд в зависимости от квалификации работника, сложности, количества, качества и условий выполняемой работы, а также компенсационных и стимулирующих выплат. Условие о заработной плате конкретного работника согласовывается и закрепляется в трудовом договоре в соответствии с действующими у данного работодателя системами оплаты труда, устанавливаемыми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 (абзац пятый части второй статьи 57, части первая и вторая статьи 135 названного Кодекса). Как указал Конституционный Суд Российской Федерации в Постановлении от 15 июня 2023 года Статья 191 Трудового кодекса Российской Федерации предоставляет работодателю право поощрять работника за добросовестный и эффективный труд, в том числе путем выдачи премии. Такая премия в соответствии с буквальным смыслом указанной нормы является одним из видов поощрения, применение которого относится к дискреции работодателя. Оспариваемая норма не затрагивает вопросов установления заработной платы и определения ее составляющих, направлена на обеспечение эффективного управления трудовой деятельностью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Кустовой Наталии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