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3512-О/2023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Титова Александра Владимировича на нарушение его конституционных прав и конституционных прав его несовершеннолетней дочери пунктом 1 статьи 1102 и подпунктом 3 статьи 1109 Гражданского кодекса Российской Федерации, а также пунктом 2 статьи 116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А.В.Титова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А.В.Титов, действующий в своих интересах и в интересах своей несовершеннолетней дочери, оспаривает конституционность следующих норм: пункта 1 статьи 1102 ГК Российской Федерации, закрепляющего,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2 (неосновательное обогащение), за исключением случаев, предусмотренных статьей 1109 данного Кодекса; подпункта 3 статьи 1109 того же Кодекса, предусматривающего, что не подлежат возврату в качестве неосновательного обогащения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пункта 2 статьи 116 Семейного кодекса Российской Федерации, устанавливающего, что выплаченные суммы алиментов не могут быть истребованы обратно, за исключением упомянутых в этой норме случаев.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А.В.Титова о взыскании с матери его несовершеннолетней дочери неосновательного обогащения, предъявленного, как указал суд апелляционной инстанции, в интересах самого заявителя и его несовершеннолетней дочери. В обоснование иска А.В.Титов ссылался на уплату алиментов после вступления в законную силу решения суда, которым место жительства дочери было определено с отцом. Суды указали, что денежные средства, полученные на основании вступившего в законную силу решения суда, не могут рассматриваться в качестве неосновательного обогащения и что перечисленные в статье 116 Семейного кодекса Российской Федерации обстоятельства не установлены. В передаче кассационной жалобы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 (часть 1), 4 (часть 2), 15 (части 1 и 2), 17, 18, 19 (части 1 и 2), 35 (части 1 и 3 2), 37 (часть 3), 38 (части 1 и 2), 45, 46 (части 1 и 2) и 55 (часть 3) Конституции Российской Федерации, поскольку они препятствуют взысканию как неосновательного обогащения с родителя несовершеннолетнего ребенка денежных средств, уплаченных в качестве алиментов на ребенка с момента вступления в законную силу решения суда об определении места жительства ребенка со вторым родителем – плательщиком алиментов до прекращения взыскания алиментов.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1102 ГК Российской Федерации обеспечивает защиту имущественных прав участников гражданского оборота (определения Конституционного Суда Российской Федерации от 9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Титова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