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Фазлеевой Элеоноры Маратовны на нарушение ее конституционных прав частью третьей статьи 722, частями первой и второй статьи 157 и частью второй статьи 392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Э.М.Фазлеевой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Э.М.Фазлеева оспаривает конституционность следующих положений Трудового кодекса Российской Федерации: части третьей статьи 722, согласно которой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2 обстоятельствами, указанными в части второй данной статьи; при этом перевод на работу, требующую более низкой квалификации, допускается только с письменного согласия работника; частей первой и второй статьи 157, предусматривающих оплату времени простоя по вине работодателя в размере не менее двух третей средней заработной платы работника, за исключением случаев, предусмотренных данным Кодексом, а по причинам, не зависящим от работодателя и работника, в размере не менее двух третей тарифной ставки, оклада (должностного оклада), рассчитанных пропорционально времени простоя. По мнению заявительницы, оспариваемые нормы не соответствуют статьям 2, 7, 17, 18, 37 (части 1–3), 55, 75 (часть 5) и 751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они не устанавливают безусловную обязанность работодателя оплатить период, в течение которого лицо, являвшееся работником организации, утратило заработную плату ввиду объективной невозможности выполнения трудовых обязанностей не по своей вине, и позволяют суду освободить работодателя от оплаты такого периода без наличия законных оснований. Кроме того, Э.М.Фазлеева ставит вопрос о проверке конституционности части второй статьи 392 Трудового кодекса Российской Федерации, закрепляющей, что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Заявительница полагает, что данная норма не соответствует статьям 1 (часть 1), 2, 15 (части 1 и 2), 37 (часть 4), 45 (часть 1), 46 (часть 1), 47 (часть 1) и 55 (часть 3) Конституции Российской Федерации в той мере, в какой в системе действующего 3 правового регулирования по смыслу, придаваемому правоприменительной практикой, не устанавливает ясных и четких правил исчисления срока в случае длящегося нарушения трудовых прав работника.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Трудовому кодексу Российской Федерации работодатель обязан предоставлять работникам работу, обусловленную трудовым договором, а также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(абзацы третий и пятый части второй статьи 22). Временная приостановка работы по причинам экономического, технологического, технического или организационного характера рассматривается по общему правилу как простой, который предполагает начисление работнику взамен заработной платы, утраченной ввиду объективной невозможности выполнения им возложенных на него трудовых (должностных) обязанностей, гарантийных выплат в размере не менее установленного законом (часть третья статьи 722, части первая и вторая статьи 157). Таким образом, данные нормы обеспечивают работнику оплату времени простоя, в которое он был лишен возможности трудиться не по своей вине, в равной мере распространяются на всех работников, не предполагают произвольного применения и не могут расцениваться как нарушающие права заявительницы в оспариваемом в жалобе аспекте. Установленный частью второй статьи 392 Трудового кодекса Российской Федерации срок для обращения в суд выступает в качестве одного из правовых условий для достижения оптимального согласования интересов сторон трудовых отношений, является достаточным для обоснования исковых требований и направлен на быстрое и эффективное восстановление нарушенных прав работника, включая право на своевременную оплату труда. 4 Лицам, не реализовавшим свое право на обращение в суд в установленный срок по уважительным причинам, предоставляется возможность восстановить этот срок в судебном порядке (часть пятая названной статьи). Постановление Пленума Верховного Суда Российской Федерации от 17 марта 2004 года № 2 «О применении судами Российской Федерации Трудового кодекса Российской Федерации» называет в качестве уважительных причин пропуска указанного срока обстоятельства, которые могут расцениваться как препятствовавшие работнику своевременно обратиться с иском в суд за разрешением индивидуального трудового спора (пункт 5). Данный перечень, будучи примерным, ориентирует суды на тщательное исследование всех обстоятельств, послуживших причиной пропуска срока обращения в суд. Соответственно, суд, оценивая, является ли то или иное основание достаточным для принятия решения о восстановлении пропущенного срока, действует не произвольно, а проверяет и учитывает всю совокупность обстоятельств конкретного дела, не позволивших работнику своевременно обратиться в суд. Следовательно, оспариваемое законоположение в системе действующего правового регулирования выступает необходимым элементом механизма, позволяющего работнику обратиться в суд за защитой нарушенного права, призвано обеспечить гражданам возможность реализации права на индивидуальные трудовые споры и также не может расцениваться как нарушающее конституционные права заявительницы. Разрешение же вопроса о том, имел ли место в деле Э.М.Фазлеевой простой по вине работодателя либо простой по причинам, не зависящим от работодателя и работника, а также установление даты начала течения срока обращения в суд связаны с исследованием фактических обстоятельств конкретного дела и к полномочиям Конституционного Суда Российской Федерации, определенным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Фазлеевой Элеоноры Маратовны,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