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некоммерческой организации «Некоммерческая межрегиональная ассоциация «Содружество» по сотрудничеству в сфере развития производства, менеджмента, маркетинга» на нарушение ее конституционных прав подпунктом 7 пункта 2 статьи 393 Земельного кодекса Российской Федерации, пунктом 1 статьи 2 и пунктом 2 статьи 3 Федерального закона «О введении в действие Земельного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некоммерческой организации «Некоммерческая межрегиональная ассоциация «Содружество» по сотрудничеству в сфере развития производства, менеджмента, маркетинга»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Некоммерческая организация «Некоммерческая межрегиональная ассоциация «Содружество» по сотрудничеству в сфере развития производства, менеджмента, маркетинга» (далее также – ассоциация) оспаривает конституционность следующих законоположений: подпункта 7 пункта 2 статьи 393 Земельного кодекса Российской Федерации, предусматривающего в качестве общего правила продажу 2 юридическим лицам без торгов земельных участков, закрепленных за ними на праве постоянного (бессрочного) пользования, а также исключения из этого правила; пункта 1 статьи 2 Федерального закона от 25 октября 2001 года № 137- ФЗ «О введении в действие Земельного кодекса Российской Федерации», предусматривающего среди прочего случаи, при которых продажа до 1 июля 2012 года земельных участков, находящихся в государственной или муниципальной собственности, осуществлялась собственникам зданий, строений и сооружений, расположенных на таких земельных участках, по цене, установленной субъектами Российской Федерации в пределах двух с половиной процентов кадастровой стоимости земельных участков, в том числе при переоформлении юридическими лицами – собственниками зданий, строений и сооружений права постоянного (бессрочного) пользования земельными участками; пункта 2 статьи 3 того же Федерального закона, закрепляющего в том числе обязанность юридических лиц (за рядом исключений) переоформить право постоянного (бессрочного) пользования земельными участками на право аренды земельных участков или приобрести земельные участки в собственность до 1 июля 2012 года. Как следует из представленных материалов, ассоциация, владеющая земельным участком на праве постоянного (бессрочного) пользования, обратилась в орган местного самоуправления за его предоставлением в собственность без проведения торгов с определением выкупной цены в размере двух с половиной процентов его кадастровой стоимости, но получила отказ, признанный правомерным решением арбитражного суда, с которым согласились суды вышестоящих инстанций. Суды пришли к выводам, что подобное определение цены договора купли-продажи могло иметь место лишь в случае переоформления собственниками зданий, строений или сооружений ранее предоставленного им права постоянного (бессрочного) пользования земельным участком до 1 июля 2012 года; в данном случае такого переоформления не было, ассоциация до этой даты не 3 являлась собственником зданий, строений и сооружений, расположенных в границах соответствующего участка (право собственности на объекты незавершенного строительства возникло у нее в силу приобретательной давности на основании судебных актов, принятых в 2015 и 2020 годах). Также суды отклонили как недоказанный довод ассоциации о злоупотреблении органом местного самоуправления своим правом, выразившемся в отказе предоставить земельный участок в собственность по заявлению, поданному ею в 2008 году. По мнению заявителя, оспариваемые законоположения противоречат статьям 8, 19 (часть 1), 34 (часть 1), 45 и 46 (части 1 и 2) Конституции Российской Федерации, поскольку они позволяют отказывать в приобретении в собственность земельного участка по льготной цене собственникам зданий, строений и сооружений, которые неоднократно обращались с просьбой о переоформлении своего права постоянного (бессрочного) пользования, в том числе до 1 июля 2012 года, но не реализовали такую возможность в связи со злоупотреблениями со стороны органа местного самоуправления, а также поскольку они лишают таких собственников самого права на приватизацию земельного участка.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некоммерческой организации «Некоммерческая межрегиональная ассоциация «Содружество» 5 по сотрудничеству в сфере развития производства, менеджмента, маркетинга»,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