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Джеломановой Натальи Владимировны на нарушение ее конституционных прав пунктом 3 части 1 статьи 128 и частью 2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Н.В.Джеломановой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Н.В.Джеломанова оспаривает конституционность следующих норм Кодекса административного судопроизводства Российской Федерации: пункта 3 части 1 статьи 128, в соответствии с которым судья отказывает в принятии административного искового заявления в случае, если из административного искового заявления об оспаривании нормативного правового акта, акта, содержащего разъяснения законодательства и обладающего нормативными свойствами, решения или действия (бездействия) не следует, что этими актом, решением или действием (бездействием) нарушаются либо иным образом затрагиваются права, свободы и законные интересы административного истца; 2 части 2 статьи 318, согласно которой судебные акты могут быть обжалованы в суд кассационной инстанции в течение шести месяцев со дня их вступления в законную силу при условии, что лицами, указанными в части 1 этой статьи, были исчерпаны иные установленные данным Кодексом способы обжалования судебного акта до дня вступления его в законную силу. Как следует из представленных материалов, определением районного суда, оставленным без изменения вышестоящими судами, Н.В.Джеломановой отказано в принятии административного искового заявления с требованием обязать Правительство Санкт-Петербурга отозвать ранее направленную в Управление Президента Российской Федерации по работе с обращениями граждан и организаций информацию, касающуюся рассмотрения коллективного обращения по вопросу, связанному с ремонтом автомобильных дорог (заявительница утверждала, что данная информация являлась неполной и недостоверной). Свой отказ суды мотивировали тем, что межведомственное информационное взаимодействие не может нарушать права, свободы и законные интересы административного истца. Верховный Суд Российской Федерации возвратил кассационную жалобу Н.В.Джеломановой без рассмотрения по существу ввиду пропуска срока на ее подачу и отсутствия заявления о восстановлении данного срока. По мнению заявительницы, оспариваемые законоположения не соответствуют статьям 46 (части 1 и 2) и 47 (часть 1) Конституции Российской Федерации, поскольку они позволили отказать в принятии поданного ею административного искового заявления, а также не учитывают при исчислении срока подачи кассационной жалобы в Верховный Суд Российской Федерации время почтовой доставки оспариваемого акта кассационного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Джеломановой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