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положениями федеральных законов «Об охране окружающей среды» и «О животном мире»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оспаривает конституционность абзаца второго статьи 1 «Основные понятия», пунктов 1 и 7 статьи 2 «Законодательство в области охраны окружающей среды» и статьи 3 «Основные принципы охраны окружающей среды» Федерального закона от 10 января 2002 года № 7-ФЗ «Об охране окружающей среды», а также главы III «Охрана объектов животного мира и среды их обитания» Федерального закона от 24 апреля 1995 года № 52-ФЗ «О животном мире». 2 Как следует из представленных материалов, апелляционным определением апелляционного суда общей юрисдикции, с которым согласились суды вышестоящих инстанций, отказано в удовлетворении требований заявителя о признании недействующим пункта 1.6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 на территории Краснодарского края (далее – Требования; приложение к постановлению главы администрации (губернатора) Краснодарского края от 23 августа 2016 года № 642), предусматривающего, в частности, что не допускается осуществление хозяйственной и иной деятельности, оказывающей воздействие на объекты животного мира и среду их обитания (за исключением мероприятий по охране, защите и воспроизводству лесов), без планирования и реализации мероприятий по охране объектов животного мира и среды их обитания, согласованных с органом исполнительной власти Краснодарского края, уполномоченным в области охраны и использования животного мира, сохранения и восстановления среды его обитания. Суды пришли к выводу, что оспариваемое положение соответствует законодательству в области охраны окружающей среды, и указали, что используемое в Требованиях понятие мероприятий по охране объектов животного мира и среды их обитания не может быть истолковано как дающее основание для возложения на их участников обязанности согласования проектной документации; согласование мероприятий осуществляется не в целях строительства, реконструкции объекта капитального строительства, ввода такого объекта в эксплуатацию, а также государственной регистрации прав на него, а в целях охраны объектов животного мира и среды их обитания. По мнению заявителя, оспариваемые законоположения не соответствуют статьям 1, 5 (часть 3), 6 (часть 2), 11 (часть 3), 15 (часть 2), 17 (часть 3), 19 (части 1 и 2), 45, 46 (части 1 и 2) и 80 (часть 3) Конституции Российской Федерации в той мере, в какой они позволяют субъектам Российской Федерации принимать нормативные правовые акты по вопросам градостроительной деятельности, противоречащие Градостроительному 3 кодексу Российской Федерации, в том числе за пределами их полномочий, закрепленных статьями 7 и 8 данного Кодекса, и вводить не предусмотренные федеральным законодательством и вопреки поручению Президента Российской Федерации дополнительные согласования и тем самым вмешиваться в компетенцию технического заказчика, изыскательских и проектных организаций по вопросам выполнения инженерных изысканий, проектных работ, составлению заданий на инженерные изыскания и проектные работы, а также вмешиваться в вопросы, находящиеся в исключительной компетенции организаций, наделенных правом проводить экспертизу результатов инженерных изысканий и проектной документации.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