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Тетеркина Григория Павловича на нарушение его конституционных прав статьей 15 Гражданского кодекса Российской Федерации, а также пунктом 21 статьи 12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Г.П.Тетеркина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Г.П.Тетеркин оспаривает конституционность статьи 15 «Возмещение убытков» ГК Российской Федерации, а также пункта 21 статьи 12 Федерального закона от 25 апреля 2002 года № 40-ФЗ «Об обязательном страховании гражданской ответственности владельцев транспортных средств», а фактически – примененные судами в деле с его участием его абзацы первый и второй, согласно которым в течение 20 календарных дней, за исключением нерабочих праздничных дней, а в случае, предусмотренном пунктом 153 данной статьи, 30 календарных дней, за исключением нерабочих праздничных дней, со дня принятия к рассмотрению заявления потерпевшего 2 о страховом возмещении или прямом возмещении убытков и приложенных к нему документов, предусмотренных правилами обязательного страхования, страховщик обязан произвести страховую выплату потерпевшему или после осмотра и (или) независимой технической экспертизы поврежденного транспортного средства выдать потерпевшему направление на ремонт транспортного средства с указанием станции технического обслуживания, на которой будет отремонтировано его транспортное средство и которой страховщик оплатит восстановительный ремонт поврежденного транспортного средства, и срока ремонта либо направить потерпевшему мотивированный отказ в страховом возмещении; 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(пеню) в размере одного процента от определенного в соответствии с данным Федеральным законом размера страхового возмещения по виду причиненного вреда каждому потерпевшему; при возмещении вреда на основании пунктов 151–153 данной статьи в случае нарушения установленного абзацем вторым пункта 152 данной статьи срока проведения восстановительного ремонта поврежденного транспортного средства или срока, согласованного страховщиком и потерпевшим и превышающего установленный абзацем вторым пункта 152 данной статьи срок проведения восстановительного ремонта поврежденного транспортного средства, страховщик за каждый день просрочки уплачивает потерпевшему неустойку (пеню) в размере 0,5 процента от определенной в соответствии с данным Федеральным законом суммы страхового возмещения, но не более суммы такого возмещения. Как следует из представленных материалов, определением суда апелляционной инстанции, с которым согласились вышестоящие суды, отказано в удовлетворении исковых требований Г.П.Тетеркина к страховой компании о взыскании неустойки, штрафа и компенсации морального вреда. Суд апелляционной инстанции, установив, что требование о возмещении утраты товарной стоимости не было заявлено Г.П.Тетеркиным при обращении к страховщику по наступлении страхового случая, пришел к выводу об отсутствии 3 правовых оснований для удовлетворения иска, поскольку данное возмещение осуществлено страховщиком после предъявления соответствующего требования в установленный законом срок. По мнению заявителя, оспариваемые законоположения не соответствуют статьям 19 (части 1 и 2), 23 (часть 1), 45, 46 (части 1 и 2) и 55 (части 2 и 3) Конституции Российской Федерации в той мере, в какой по смыслу, придаваемому в системе действующего правового регулирования сложившейся правоприменительной практикой, они в силу неопределенности своего содержания не обеспечивают взыскания со страховщика неустойки, исчисляемой на величину утраты товарной стоимости транспортного средства потерпевшего, заявившего о наступлении страхового события, но не потребовавшего компенсации утраты товарной стоимости путем подачи страховщику отдельного заявления, что приводит к нарушению права потерпевшего на полную компенсацию ущерба.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 ГК Российской Федерации, направленная на полное возмещение причиненного вреда, а тем самым – на реализацию закрепленного в статье 35 (часть 1) Конституции Российской Федерации принципа охраны права частной собственности законом, сама по себе не может рассматриваться как нарушающая в обозначенном в жалобе аспекте конституционные права заявителя.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Тетеркина Григория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