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Москвилина Олега Анатольевича на нарушение его конституционных прав статьей 2.9, пунктом 5 части 1 статьи 24.5, частями 1–3 статьи 24.7 и пунктом 4 части 2 статьи 30.17 Кодекса Российской Федерации об административных правонарушениях и статьями 15, 16, 1069 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О.А.Москвилина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О.А.Москвилин оспаривает конституционность статьи 2.9 «Возможность освобождения от административной ответственности при малозначительности административного правонарушения», пункта 5 части 1 статьи 24.5 «Обстоятельства, исключающие производство по делу об административном правонарушении», частей 1–3 статьи 24.7 «Издержки по делу об административном правонарушении» и пункта 4 части 2 статьи 30.17 «Виды постановлений, принимаемых по результатам рассмотрения жалобы, 2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Федерации, а также статей 15 «Возмещение убытков», 16 «Возмещение убытков, причиненных государственными органами и органами местного самоуправления», 1069 «Ответственность за вред, причиненный государственными органами, органами местного самоуправления, а также их должностными лицами» 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Федерации. Как следует из представленных материалов, решением районного суда изменено постановление должностного лица о привлечении заявителя к административной ответственности по части 4 статьи 3.18.1 «Нарушение требований нормативных правовых актов города Москвы, направленных на введение и обеспечение режима повышенной готовности на территории города Москвы» Закона города Москвы от 21 ноября 2007 года № 45 «Кодекс города Москвы об административных правонарушениях», действия О.А.Москвилина переквалифицированы на часть 2 данной статьи и производство по делу прекращено в связи с малозначительностью совершенного административного правонарушения. Вступившим в законную силу решением суда отказано в удовлетворении требования О.А.Москвилина о взыскании расходов на оплату услуг защитника по указанному делу об административном правонарушении. По мнению заявителя, оспариваемые законоположения не соответствуют статьям 1 (часть 1), 2, 15 (части 1, 2 и 4), 17 (часть 3), 18, 19 (части 1 и 2), 45, 46, 48 (часть 1), 55 (части 2 и 3) и 56 (часть 3) Конституции Российской Федерации, поскольку позволяют отказывать в возмещении расходов на оплату услуг защитника по делу об административном правонарушении, производство по которому было прекращено на основании статьи 2.9 КоАП Российской Федерации.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Москвилина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