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Старкова Валерия Владимировича на нарушение его конституционных прав частью первой статьи 129 и частью второй статьи 135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В.В.Старкова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В.В.Старков оспаривает конституционность следующих норм Трудового кодекса Российской Федерации: части первой статьи 129, согласно которой заработная плата (оплата труда работника) – это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2 стимулирующие выплаты (доплаты и надбавки стимулирующего характера, премии и иные поощрительные выплаты); части второй статьи 135, предусматривающей, что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 По мнению заявителя, работавшего руководителем организации, оспариваемые положения не соответствуют статьям 19 (части 1 и 2), 37 (часть 3), 55 (часть 3), 75 (часть 5) и 751 Конституции Российской Федерации в той мере, в какой содержащиеся в них положения предоставляют работодателю право произвольно принимать решение о выплате работнику стимулирующих выплат, без учета количества, качества и эффективности труда, достигнутых показателей премирования и иных объективных критериев, и не сообщать работнику, какие недостатки в его трудовой деятельности послужили основанием для невыплаты премии. Оспариваемые нормы применены в деле заявителя судами общей юрисдикции.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Старкова Валерия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