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2140-О/2023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Воронина Александра Юрьевича на нарушение его конституционных прав частью 1 статьи 12.26 Кодекса Российской Федерации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А.Ю.Воронина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А.Ю.Воронин оспаривает конституционность части 1 статьи 12.26 КоАП Российской Федерации, устанавливающей административную ответственность за невыполнение водителем транспортного средства законного требования уполномоченного должностного лица о прохождении медицинского освидетельствования на состояние опьянения, если такие действия (бездействие) не содержат уголовно наказуемого деяния. Из представленных материалов следует, что постановлением мирового судьи от 12 марта 2021 года, оставленным без изменения вышестоящими судами, в том числе постановлением судьи Верховного Суда Российской 2 Федерации от 31 мая 2022 года, А.Ю.Воронин был признан виновным в совершении административного правонарушения, предусмотренного частью 1 статьи 12.26 КоАП Российской Федерации, и ему назначено административное наказание в виде административного штрафа в размере тридцати тысяч рублей с лишением права управления транспортными средствами на срок один год семь месяцев. Как указали суды, доводы заявителя о том, что он не управлял транспортным средством, опровергаются представленными по запросу мирового судьи уполномоченным органом на осуществление федерального государственного надзора в области безопасности дорожного движения сведениями о передвижении транспортного средства под управлением А.Ю.Воронина в день совершения административного правонарушения и фотоматериалами к ним. Иные рассмотренные судами доводы заявителя о его невиновности и о нарушении его прав в ходе производства по делу об административном правонарушении также были отклонены судами как необоснованные с учетом представленных доказательств по делу. По мнению заявителя, оспариваемое законоположение не соответствует статьям 17 (части 1 и 2), 45 (часть 2), 46 (часть 1) и 54 (часть 2) Конституции Российской Федерации, поскольку ввиду своей неопределенности позволяет произвольно привлекать граждан к административной ответственности.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Закрепляя составы административных правонарушений и меры ответственности за их совершение, законодатель обязан соблюдать гарантированное статьей 19 (часть 1) Конституции Российской Федерации равенство всех перед законом и вытекающее из него требование определенности правовых норм, означающее, что любое административное правонарушение, а равно санкции за его совершение должны быть четко определены в законе, причем таким образом, чтобы исходя из текста 3 соответствующей нормы – в случае необходимости с помощью толкования, данного ей судами, – каждый мог предвидеть административно-правовые последствия своих действий (бездействия) (определения Конституционного Суда Российской Федерации от 7 декабря 2010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Воронина Александра Юрьевича,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