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875-О/2024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Галим Рамили Хамитьяновны на нарушение ее конституционных прав статьей 2804 Уголовного кодекса Российской Федерации, статьей 234, частью седьмой статьи 236 и пунктом 1 части первой статьи 4015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Р.Х.Галим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Р.Х.Галим, обвиняемая в совершении преступления, просит признать не соответствующими статье 47 (часть 1) Конституции Российской Федерации: статью 2804 «Публичные призывы к осуществлению деятельности, направленной против безопасности государства» УК Российской Федерации, как позволяющую не конкретизировать в обвинительном заключении и в принятом по результатам предварительного слушания решении, к совершению какого именно преступления, указанного в 2 примечании к данной статье, призывало лицо, привлекаемое к уголовной ответственности, а также как допускающую проведение предварительного следствия следователем органов федеральной службы безопасности, предварительного слушания – единолично судьей районного суда, а рассмотрение уголовного дела по существу – коллегией из трех судей и как не предусматривающую обязанность суда проверять правильность определения подследственности уголовного дела; статью 234 «Порядок проведения предварительного слушания» УПК Российской Федерации, поскольку она, как полагает Р.Х.Галим, позволят судье проводить предварительное слушание единолично, несмотря на то, что само уголовное дело подлежит рассмотрению коллегией из трех судей; часть седьмую статьи 236 «Виды решений, принимаемых судьей на предварительном слушании» и пункт 1 части первой статьи 4015 «Возвращение кассационных жалобы, представления без рассмотрения» того же Кодекса, которые, по утверждению заявительницы, наделяют суд кассационной инстанции правом возвратить подсудимому без рассмотрения его жалобу на решение о назначении судебного заседания, даже при наличии в нем ошибочного указания на то, что уголовное дело подлежит рассмотрению судьей единолично.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Ранее Р.Х.Галим оспаривала в аналогичном аспекте конституционность статьи 2804 УК Российской Федерации в своей предшествующей жалобе, по результатам изучения которой Статья 46 Конституции Российской Федерации не предполагает возможности выбора гражданином по своему усмотрению любых способов и процедур судебной защиты, особенности которых применительно к отдельным видам производства и категориям дел определяются, исходя из Конституции Российской Федерации, федеральными конституционными законами и федеральными законами (определения Конституционного Суда Российской Федерации от 13 января 2000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Галим Рамили Хамитьяновны,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