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2423-О/2024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«Формула безопасности транспорта» на нарушение его конституционных прав частью 4 статьи 167 Арбитражного процессуального кодекса Российской Федерации, а также частью 9 статьи 95 и частью 2 статьи 104 Федерального закона «О контрактной системе в сфере закупок товаров, работ, услуг для обеспечения государственных и муниципальных нужд»</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«Формула безопасности транспорта»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«Формула безопасности транспорта» (далее также – общество) оспаривает конституционность части 4 статьи 167 «Принятие решения» АПК Российской Федерации, а также следующих положений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2 части 9 статьи 95, закрепляющей, что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части 2 статьи 104, согласно которой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 Как следует из представленных материалов, решением арбитражного суда, с которым согласились суды вышестоящих инстанций, отказано в удовлетворении исковых требований общества к федеральному государственному бюджетному учреждению о расторжении государственного контракта. Суд пришел к выводу, что общество не доказало наличия обстоятельств, свидетельствующих об отсутствии его вины в нарушении сроков выполнения работ по контракту, а учреждение правомерно отказалось в одностороннем порядке от исполнения этого контракта. По мнению заявителя, часть 4 статьи 167 АПК Российской Федерации не соответствует части 1 статьи 46 Конституции Российской Федерации в той мере, в какой она в системе действующего регулирования допускает принятие судебного акта (по результатам судебного заседания, проводившегося с использованием системы веб-конференции) в помещении с участием лиц, не входящих в состав суда, и позволяет принимать судебные акты судьями в условиях, не обеспечивающих тайну совещания судей; оспариваемые же положения Федерального закона «О контрактной системе в сфере закупок товаров, работ, услуг для обеспечения государственных и муниципальных нужд» не соответствуют статьям 8 и 34 Конституции Российской Федерации в той мере, в какой они – в силу неопределенности нормативного содержания, порождающей неоднозначное их истолкование, – предоставляют заказчику неограниченное право на односторонний отказ от исполнения контракта без 3 определения объективных и прозрачных критериев оценки ненадлежащего исполнения (неисполнения) обязанностей по контракту, а также дают ему возможность действовать недобросовестно и инициировать включение исполнителя в реестр недобросовестных поставщиков, притом что нарушение контракта явилось следствием противоправного поведения самого заказчика.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«Формула безопасности транспорта», поскольку она не отвечает требованиям Федерального конституционного закона «О Конституционном Суде Российской Федерации», в соответствии с 5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