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Когута Владимира Николаевича на нарушение его конституционных прав пунктом 3 части первой статьи 77, частью первой статьи 80 и подпунктом «а» пункта 6 части первой статьи 81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В.Н.Когута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В.Н.Когут оспаривает конституционность следующих положений Трудового кодекса Российской Федерации: пункта 3 части первой статьи 77, закрепляющего такое общее основание прекращения трудового договора, как расторжение трудового договора по инициативе работника (статья 80 данного Кодекса); части первой статьи 80, согласно которой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данным Кодексом или иным федеральным законом; течение указанного срока 2 начинается на следующий день после получения работодателем заявления работника об увольнении; подпункта «а» пункта 6 части первой статьи 81, предусматривающего возможность расторжения трудового договора по инициативе работодателя за прогул, то есть отсутствие работника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Как следует из материалов жалобы, заявитель, полагая, что работодатель нарушает его трудовые права, направил ему заявление с просьбой об увольнении, в котором также указал, что данное заявление подается вынужденно, в связи с невозможностью далее выполнять свои трудовые обязанности из-за действий работодателя. Работодатель направил В.Н.Когуту встречное предложение о расторжении трудового договора по соглашению сторон с выплатой выходного пособия в размере двух должностных окладов. По истечении четырнадцати дней со дня получения работодателем заявления об увольнении заявитель прекратил работу, что повлекло за собой его увольнение за прогул. Он обратился в суд с рядом исковых требований, в том числе просил признать увольнение незаконным и изменить формулировку основания увольнения на увольнение по собственному желанию, в удовлетворении которых ему было отказано. Суды посчитали законным бездействие работодателя, не расторгнувшего с В.Н.Когутом трудовой договор по основанию, предусмотренному пунктом 3 части первой статьи 77 Трудового кодекса Российской Федерации, поскольку соответствующее волеизъявление работника не было добровольным, а носило вынужденный характер, что следует из содержания поданного работником заявления об увольнении. По этой причине суды пришли к выводу о том, что работник не имел желания уволиться по собственной инициативе, а его действия по прекращению работы обоснованно расценены работодателем как прогул. 3 По мнению заявителя, оспариваемые положения не соответствуют статьям 1 (часть 1), 4 (часть 2), 7 (часть 1), 8 (часть 1), 15 (части 1 и 2), 17, 19 (части 1 и 2), 34 (часть 1), 37, 45 (часть 1), 46 (часть 1), 55 (часть 3), 120 (часть 1) и 123 (часть 3)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в том числе в деле заявителя, они предоставляют работодателю право отказывать в увольнении по инициативе работника по причине недобровольного характера такого увольнения, а также использовать для увольнения работника другие основания прекращения трудового договора.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 3 части первой статьи 77 Трудового кодекса Российской Федерации, закрепляющий право работника в любое время расторгнуть трудовой договор с работодателем, и часть первая его статьи 80, устанавливающая единственное требование к работнику при увольнении по собственной инициативе – предупредить об этом работодателя по общему правилу не позднее чем за две недели, основаны на положении статьи 37 (часть 1) Конституции Российской Федерации, согласно которому труд свободен, каждый имеет право свободно распоряжаться своими способностями к труду, выбирать род деятельности и профессию. Эти нормы выступают гарантией реализации конституционных предписаний и не могут расцениваться как нарушающие права работников (определения от 25 ноября 2020 года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Когута Владимира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