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Нагорной Натальи Викторовны на нарушение ее конституционных прав статьей 129, частью второй статьи 135 и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Н.В.Нагорной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Н.В.Нагорная оспаривает конституционность следующих положений Трудового кодекса Российской Федерации: статьи 129, а фактически ее части первой, содержащей определение понятия «заработная плата»; части второй статьи 135,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2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предусматривающей,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По мнению заявительницы, оспариваемые нормы, примененные в ее деле судом, противоречат Конституции Российской Федерации, ее статьям 17, 21, 37 (части 1–3) и 75 (часть 5), поскольку не содержат требований к локальным нормативным актам, позволяя работодателю произвольно изменять систему оплаты труда и по своему усмотрению принимать решение о лишении работника премии в связи с прекращением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Нагорной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