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Андреевой Ирины Игоревны на нарушение ее конституционных прав частью первой статьи 129, частями первой и второй статьи 135 и частью первой статьи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И.И.Андреевой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И.И.Андреева оспаривает конституционность следующих положений Трудового кодекса Российской Федерации: части первой статьи 129, содержащей определение понятия «заработная плата»; частей первой и второй статьи 135, согласно которым заработная плата работнику устанавливается трудовым договором в соответствии с действующими у данного работодателя системами оплаты труда; системы оплаты труда, включая размеры тарифных ставок, окладов (должностных окладов), доплат и надбавок компенсационного характера, в том числе за 2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191, предусматривающей, что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профессии). По мнению заявительницы, оспариваемые нормы, примененные в ее деле судом, противоречат Конституции Российской Федерации, ее статьям 18, 19 (части 1 и 2), 37 (часть 3), 55 (части 2 и 3), 75 (часть 5) и 751, поскольку не содержат критериев разграничения премии как гарантированной части заработной платы и как поощрения за труд, выплачиваемого по усмотрению работодателя.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Андреевой Ирины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