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Юрковского Сергея Михайловича на нарушение его конституционных прав рядом норм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С.М.Юрковского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С.М.Юрковский оспаривает конституционность следующих законоположений: пункта 2 статьи 97 «Допустимость жалобы» Федерального конституционного закона от 21 июля 1994 года № 1-ФКЗ «О Конституционном Суде Российской Федерации»; статьи 20 «Стороны трудовых отношений» и части первой статьи 179 «Преимущественное право на оставление на работе при сокращении численности или штата работников» Трудового кодекса Российской Федерации; 2 пункта 1 части второй и пункта 1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По мнению заявителя, оспариваемые нормы не соответствуют Конституции Российской Федерации, в частности ее статьям 15, 18, 19 (части 1 и 2), 37 и 46 (часть 1), поскольку: пункт 2 статьи 97 Федерального конституционного закона «О Конституционном Суде Российской Федерации» ограничивает право обращения гражданина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Закрепление в статье 392 ГПК Российской Федерации оснований для пересмотра по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По смыслу данного законоположения,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момент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постановления. Для исправления же судебных ошибок, допущенных судом при вынесении решения, законодательство предусматривает другие формы проверки этих решений вышестоящими судами общей юрисдикции. Соответственно, положения пункта 1 части второй и пункта 1 части третьей статьи 392 ГПК Российской Федерации не могут расцениваться как нарушающие конституционные права С.М.Юрковского, перечисленные в жалобе. Определение же того, могли ли те или иные обстоятельства служить основанием для пересмотра судебного постановления, принятого по делу с участием заявителя, не входит в полномочия Конституционного Суда Российской Федерации, закрепленные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частью пятой статьи 3,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пунктом 5 параграфа 23 Регламента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Юрковского Сергея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Юрковским Сергеем Михайловичем по вопросу о нарушении его конституционных прав частью четвертой статьи 20 и частью первой статьи 179 Трудового кодекса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