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Галим Рамили Хамитьяновны на нарушение ее конституционных прав статьей 2804 Уголовного кодекса Российской Федерации, частью второй статьи 31, статьями 108 и 38920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Р.Х.Галим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Р.Х.Галим, обвиняемая в совершении преступления, просит признать не соответствующими статье 47 (часть 1) Конституции Российской Федерации следующие законоположения: статью 2804 «Публичные призывы к осуществлению деятельности, направленной против безопасности государства» УК Российской Федерации, которая, по ее мнению, позволяет не конкретизировать того, к совершению какого преступления, указанного в примечании к данной статье, призывало лицо, привлекаемое к уголовной ответственности, и не 2 учитывать это обстоятельство при определении подследственности и подсудности; часть вторую статьи 31 «Подсудность уголовных дел» УПК Российской Федерации, которая, как утверждает Р.Х.Галим, относит к подсудности районного суда уголовные дела о преступлениях, предусмотренных статьей 2804 УК Российской Федерации, когда лицо обвиняется в публичных призывах к преступлению против военной службы; статью 108 «Заключение под стражу» УПК Российской Федерации, которая, как полагает заявительница, не обязывает суд проверять правильность определения подследственности и подсудности уголовного дела, допуская рассмотрение судьей районного суда вопроса о заключении лица под стражу, если представленные в суд материалы касаются преступлений против военной службы; статью 38920 «Решения, принимаемые судом апелляционной инстанции» этого же Кодекса, которая, по утверждению Р.Х.Галим, не обязывает суд апелляционной инстанции проверять правильность определения подследственности и исключает принятие решения о передаче уголовного дела по подсудности, если выяснится, что оно подсудно военному суду.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2804 УК Российской Федерации лишь устанавливает уголовную ответственность за публичные призывы к осуществлению деятельности, направленной против безопасности государства, и не регулирует уголовно-процессуальные отношения. Одной из основополагающих гарантий права на судебную защиту и его непременной составляющей является закрепленное статьей 47 (часть 1) Конституции Российской Федерации право каждого на рассмотрение его дела в том суде и тем судьей, к подсудности которых оно отнесено законом. 3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Галим Рамили Хамитьяновны,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