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3557-О/2023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иностранной компании «БИ ЭС АЙ ГЛОБАЛ ГРУП ЛИМИТЕД» на нарушение ее конституционных прав подпунктом 4 пункта 1.4 Порядка определения вида фактического использования зданий (строений, сооружений) и нежилых помещений для целей налогообложения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иностранной компании «БИ ЭС АЙ ГЛОБАЛ ГРУП ЛИМИТЕД»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Иностранная компания «БИ ЭС АЙ ГЛОБАЛ ГРУП ЛИМИТЕД» (далее также – иностранная компания, компания) оспаривает конституционность подпункта 4 пункта 1.4. Порядка определения вида фактического использования зданий (строений, сооружений) и нежилых помещений для целей налогообложения (далее также – Порядок; приложение 1 к постановлению Правительства Москвы от 14 мая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иностранной компании «БИ ЭС АЙ ГЛОБАЛ ГРУП ЛИМИТЕД»,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