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3287-О/2024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запросу Костромского областного суда о проверке конституционности пункта 3 части 1 статьи 30.1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сообщение судьи А.Н.Кокотова, проводившего на основании статьи 41 Федерального конституционного закона «О Конституционном Суде Российской Федерации» предварительное изучение запроса Костромского областного суда,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Костромской областной суд оспаривает конституционность пункта 3 части 1 статьи 30.1 КоАП Российской Федерации, в соответствии с которым постановление по делу об административном правонарушении, вынесенное должностным лицом, может быть обжаловано лицами, указанными в статьях 25.1–25.51 данного Кодекса, в вышестоящий орган, вышестоящему должностному лицу либо в районный суд по месту рассмотрения дела. Как следует из представленных материалов, постановлением старшего инспектора центра автоматизированной фиксации административных правонарушений ГИБДД УМВД России по Костромской области от 2 октября 2 2023 года на основании материалов, полученных с применением работающего в автоматическом режиме специального технического средства фиксации административных правонарушений, к административной ответственности в порядке, предусмотренном частью 3 статьи 28.6 КоАП Российской Федерации, было привлечено юридическое лицо – владелец транспортного средства за совершение административного правонарушения, предусмотренного частью 2 статьи 12.9 «Превышение установленной скорости движения» КоАП Российской Федерации, с назначением ему административного штрафа в размере 500 рублей. Решением судьи Островского районного суда Костромской области от 10 апреля 2024 года данное постановление оставлено без изменения. Определением судьи Костромского областного суда от 25 июня 2024 года производство по жалобе защитника юридического лица на указанные правоприменительные акты было приостановлено в связи с направлением запроса 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Вопрос, поставленный заявителем, уже был предметом рассмотрения Конституционного Суда Российской Федерации. В Постановлении от 12 ноября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запрос Костромского областного суда не подлежащим дальнейшему рассмотрению в заседании Конституционного Суда Российской Федерации, поскольку поставленный заявителем вопрос разрешен 5 Конституционным Судом Российской Федерации в Постановлении от 12 ноября 2024 года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запросу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