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Савчук Оксаны Викторовны на нарушение ее конституционных прав статьями 82, 373 и 392 Трудового кодекса Российской Федерации, а также статьями 200, 327 и 333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О.В.Савчук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О.В.Савчук оспаривает конституционность статей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и 392 «Сроки обращения в суд за разрешением индивидуального трудового спора» Трудового кодекса Российской Федерации. 2 Заявительница также просит признать не соответствующими Конституции Российской Федерации статьи 200 «Исправление описок и явных арифметических ошибок в решении суда», 327 «Порядок рассмотрения дела судом апелляционной инстанции» и 333 «Порядок подачи и рассмотрения частной жалобы, представления прокурора» Гражданского процессуального кодекса Российской Федерации. По мнению О.В.Савчук, оспариваемые нормы противоречат статьям 15, 19, 46 (часть 1), 47 и 123 Конституции Российской Федерации, поскольку положения Трудового кодекса Российской Федерации позволяют признавать отношения по принятию выборным органом первичной профсоюзной организации мотивированного мнения при расторжении трудового договора по инициативе работодателя и оспариванию такого мнения в суде трудовыми правоотношениями и применять к этим отношениям установленный статьей 392 названного Кодекса срок обращения в суд, а судам отказывать работнику в удовлетворении его заявления об указании выборного органа первичной профсоюзной организации в наименовании ответчика – общероссийского профсоюза; положения Гражданского процессуального кодекса Российской Федерации позволяют суду апелляционной инстанции выносить апелляционное определение по частной жалобе на определение суда первой инстанции по заявлению об исправлении описок до вступления в силу решения суда по делу и рассматривать апелляционную жалобу после вынесения названного апелляционного определения.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жалобам, не подтверждается применение положений статьи 392 Трудового кодекса Российской Федерации в конкретном деле заявительницы. При этом упоминание данной статьи судом первой инстанции не свидетельствует о ее применении, поскольку, как неоднократно указывал Статьи 82 и 373 Трудового кодекса Российской Федерации направлены на создание правового механизма, обеспечивающего дополнительную защиту трудовых прав работников, являющихся членами профессионального союза, предусматривают обращение работодателя за мотивированным мнением выборного органа первичной профсоюзной организации исключительно по поводу привлечения работника к дисциплинарному взысканию в виде увольнения и не могут рассматриваться как нарушающие права заявительницы. Разрешение вопроса о правильности указания ответчика в решении суда общей юрисдикции не относится к компетенции Конституционного Суда Российской Федерации. Положения статьи 200 ГПК Российской Федерации, устанавливающие запрет на внесение изменений в решение суда после его объявления (часть первая) и предоставляющие суду право по своей инициативе или по заявлению лиц, участвующих в деле, исправить допущенные в решении суда описки или явные арифметические ошибки (часть вторая), призваны обеспечить неизменность судебного решения, не предполагают их произвольного применения судами, призваны обеспечить принятие судом законного решения и являются дополнительной гарантией процессуальных прав лиц, участвующих в деле. Данные законоположения, вопреки утверждению О.В.Савчук, не влияют на порядок и сроки обжалования судебных постановлений, которые определены иными нормами названного Кодекса, и не могут рассматриваться 4 как нарушающие ее конституционные права, перечисленные в жалобе, в указанном ею аспекте. Что же касается статей 327 и 330 ГПК Российской Федерации, то они, будучи обусловленными целями производства в суде апелляционной инстанции, состоящими в проверке законности и обоснованности решения суда первой инстанции, в том числе исправлении возможных судебных ошибок, составляют процессуальную гарантию правильного рассмотрения и разрешения судами гражданских дел. Таким образом, данные нормативные положения, не регулирующие вопросы исправления описок и явных арифметических ошибок в решении суда, также не могут расцениваться как нарушающие конституционные права заявительницы. Кроме того,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Между тем копии судебных постановлений (определения суда первой инстанции и апелляционное определение), представленные О.В.Савчук, не позволяют сделать вывод об исчерпании ею внутригосударственных средств судебной защиты применительно к оспариваемым заявительницей статьям 200, 327 и 330 ГПК Российской Федерации, примененным в рамках рассмотрения вопроса об исправлении описки в решении суда.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Савчук Оксаны Викторовны,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