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Хайтметова Азамата Азатовича на нарушение его конституционных прав статьями 10, 1252, 1483, 1484, 1486 и подпунктом 1 пункта 4 статьи 1515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А.А.Хайтметова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А.А.Хайтметов оспаривает конституционность статей 10 «Пределы осуществления гражданских прав», 1252 «Защита исключительных прав», 1483 «Основания для отказа в государственной регистрации товарного знака», 1484 «Исключительное право на товарный знак», 1486 «Последствия неиспользования товарного знака» и подпункта 1 пункта 4 статьи 1515 «Ответственность за незаконное использование товарного знака» ГК Российской Федерации. Как следует из представленных материалов, решением арбитражного суда, оставленным без изменения постановлением суда апелляционной инстанции, отказано в удовлетворении требования А.А.Хайтметова о взыскании компенсации за нарушение исключительного права на товарный 2 знак. Суды указали, что продукция, маркированная аналогичным товарным знаком, зарегистрированным на территории иностранного государства, широко представлена на российском рынке, в то время как истец не доказал использования товарного знака для индивидуализации выпускаемой им продукции. Суды, сославшись на пункт 1 статьи 10 ГК Российской Федерации, отметили, что правообладателю может быть отказано в защите исключительного права, если товарный знак зарегистрирован им не с целью его использования, а лишь для запрета использовать его третьим лицам. В передаче кассационной жалобы на названные судебные акты и постановление суда кассационной инстанции, которыми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оспариваемые положения по смыслу, придаваемому им правоприменительной практикой, противоречат статьям 17 (части 2 и 3), 34, 35 (части 1–3), 44 (часть 1) и 55 (часть 3) Конституции Российской Федерации. А.А.Хайтметов утверждает, что названные нормы в соответствии с их конституционно-правовым смыслом не позволяют отказывать во взыскании компенсации за нарушение исключительного права на товарный знак лишь в связи с его неиспользованием, если с момента его регистрации прошло менее трех лет; не признают права преждепользования в отношении не признанного общеизвестным товарным знаком обозначения, сходного с товарным знаком и используемого третьим лицом до даты приоритета этого товарного знака; не допускают во время рассмотрения дела судом кассационной инстанции замены лица, в отношении которого суды нижестоящих инстанций сделали вывод о злоупотреблении правом, без вынесения этого вопроса на обсуждение или без нового рассмотрения дела по правилам первой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Положения статьи 10 ГК Российской Федерации обеспечивают реализацию принципа, закрепленного в статье 17 (часть 3) Конституции Российской Федерации (определения Конституционного Суда Российской Федерации от 24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Хайтметова Азамата Азатовича,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