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Медведева Руслана Михайловича на нарушение его конституционных прав пунктом 1 статьи 166, пунктами 1 и 2 статьи 167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Р.М.Медведева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Р.М.Медведев оспаривает конституционность следующих положений Гражданского кодекса Российской Федерации: пункта 1 статьи 166, согласно которому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пунктов 1 и 2 статьи 167 о том, что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лицо, 2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 (пункт 1);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 2). Из представленных материалов следует, что в рамках дела о несостоятельности (банкротстве) индивидуального предпринимателя – гражданина Б. определением арбитражного суда, оставленным без изменения судами вышестоящих инстанций, удовлетворено заявление финансового управляющего должника, признаны недействительными сделками договоры купли-продажи квартиры, применены последствия недействительности сделок: восстановлено право собственности должника на квартиру и на Р.М.Медведева возложена обязанность возвратить спорную квартиру в конкурсную массу должника.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названного суда. По мнению Р.М.Медведева, оспариваемые положения противоречат статьям 2, 8, 17 (часть 1), 18, 19 (часть 1), 35 (часть 2), 40 (часть 1), 46 (часть 1) и 55 (части 2 и 3) Конституции Российской Федерации, поскольку они позволяют по иску финансового управляющего изымать недвижимое имущество у гражданина – последнего его приобретателя, право собственности которого, равно как и законность всех предшествовавших приобретению этого права сделок, признавалось государством в ходе государственной регистрации прав на недвижимость, и лишают добросовестного приобретателя возможности защитить свои имущественные права. 3</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Защита гражданских прав, в том числе права собственности, осуществляется способами, перечисленными в статье 12 ГК Российской Федерации. Выбор способа защиты права предопределяется правовыми нормами с учетом характера нарушения и фактических обстоятельств дела, которые должны быть установлены судом при разрешении вопроса о том, избран ли истцом надлежащий способ защиты прав. Оспариваемые нормы статьи 167 ГК Российской Федерации, закрепляющие общие положения о последствиях недействительности сделки, согласуются с предписанием статьи 15 (часть 2) Конституции Российской Федерации об обязанности граждан и их объединений соблюдать Конституцию Российской Федерации и законы и направлены на защиту имущественных интересов участников гражданского оборота (определения Конституционного Суда Российской Федерации от 31 марта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Медведева Руслана Михайловича,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