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Клиновского Андрея Леонидовича на нарушение его конституционных прав статьей 134 и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А.Л.Клиновского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А.Л.Клиновский оспаривает конституционность следующих положений Трудового кодекса Российской Федерации: статьи 134, согласно которой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2 права, другие работодатели – в порядке, установленном коллективным договором, соглашениями, локальными нормативными актами; части второй статьи 392, в соответствии с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Как следует из материалов жалобы, заявитель обратился в суд к бывшему работодателю (федеральному государственному унитарному предприятию) с иском о взыскании, в частности, индексации заработной платы за период его работы за 2012–2020 годы, а также денежной компенсации за задержку причитающихся выплат в соответствии со статьей 236 Трудового кодекса Российской Федерации. Суд, установив, что у ответчика отсутствовали правила индексации заработной платы, требования А.Л.Клиновского удовлетворил частично: взыскал суммы индексации заработной платы исходя из индекса потребительских цен на товары и услуги за период с октября 2019 года по май 2020 года, денежную компенсацию за задержку соответствующих выплат, компенсацию морального вреда. В удовлетворении требования об индексации заработной платы за более ранний период было отказано в связи с пропуском годичного срока обращения в суд, предусмотренного частью второй статьи 392 Трудового кодекса Российской Федерации. По мнению заявителя, оспариваемые нормы не соответствуют Конституции Российской Федерации, в том числе ее статьям 2, 18, 19, 37 (часть 3), 45, 46 (часть 1), 55 и 123 (часть 3), в той мере, в какой они в системе действующего правового регулирования позволяют суду не признавать длящимся нарушением неначисление работодателем сумм индексации заработной платы, несмотря на отсутствие у работодателя порядка такой индексации, и отказывать работнику в удовлетворении 3 соответствующего требования в связи с истечением годичного срока обращения в суд. Оспариваемые нормы применены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 Часть вторая статьи 392 Трудового кодекса Российской Федерации во взаимосвязи с частью первой статьи 136 данного Кодекса предполагает, что по делам о невыплате или неполной выплате заработной платы работник должен узнать о нарушении своего права в день выплаты заработной платы, установленный правилами внутреннего трудового распорядка, коллективным договором или трудовым договором, и получения расчетного листка. Срок, установленный данной нормой, выступая в качестве одного из необходимых правовых условий для достижения оптимального согласования 4 интересов сторон трудовых отношений, не может быть признан неразумным и несоразмерным, поскольку направлен на быстрое и эффективное восстановление нарушенных прав работника, включая право на своевременную оплату труда, и является достаточным для обращения в суд (определения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Клиновского Андрея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