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Борисовой Натальи Вячеславовны на нарушение ее конституционных прав положениями части первой статьи 17 и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Н.В.Борисовой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Н.В.Борисова, осужденная за совершение путем обмана и злоупотребления доверием хищений денежных средств у 37 потерпевших, оспаривает конституционность положений части первой статьи 17 «Совокупность преступлений» и статьи 159 «Мошенничество» УК Российской Федерации. По мнению заявительницы, оспариваемые нормы не соответствуют статьям 17, 18, 21, 22 (часть 1), 23–25, 45, 49, 50, 52, 54 и 55 Конституции Российской Федерации, поскольку дают правоприменителям возможность – 2 вопреки концептуальным положениям уголовного права и пункту 4 постановления Пленума Верховного Суда Российской Федерации от 12 декабря 2023 года № 43 «О некоторых вопросах судебной практики по уголовным делам о длящихся и продолжаемых преступлениях» – квалифицировать одно продолжаемое сложное преступление как множество (совокупность) самостоятельных преступлений, что позволяет повторно наказывать за совершение одного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Борисовой Натальи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