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1914-О/2023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Семенникова Евгения Владимировича на нарушение его конституционных прав частью третьей статьи 333, частью десятой статьи 3795, частями первой –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Е.В.Семенникова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Е.В.Семенников оспаривает конституционность части третьей статьи 333 «Порядок подачи и рассмотрения частной жалобы, представления прокурора», части десятой статьи 3795 «Порядок рассмотрения дела кассационным судом общей юрисдикции», частей первой –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в 2 связи с установлением новых обстоятельств отменено определение того же суда, которым было утверждено мировое соглашение по гражданскому делу с участием Е.В.Семенникова, производство по заявлению об утверждении мирового соглашения прекращено.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Е.В.Семенникова, часть десятая статьи 3795 ГПК Российской Федерации во взаимосвязи с частью третьей статьи 333, частями первой – третьей статьи 392 данного Кодекса противоречат Конституции Российской Федерации, ее статьям 17, 18, 19 (части 1 и 2), 45 и 118, поскольку позволяют судье кассационного суда общей юрисдикции единолично и без проведения судебного заседания рассматривать кассационную жалобу на определение суда, принятое по результатам рассмотрения заявления о пересмотре решения суда по вновь открывшимся или новым обстоятельствам, а также допускают возможность обжалования в суд первой инстанции утвержденного судом мирового соглашения, игнорируя предписания части одиннадцатой статьи 15310 «Утверждение судом мирового соглашения» названного Кодекса. Также заявитель просит проверить конституционность применения в его деле части первой статьи 392 ГПК Российской Федерации, поскольку данное законоположение, как он полагает, допускает пересмотр по вновь открывшимся или новым обстоятельствам судебных постановлений, не вступивших в законную силу. Кроме того, Е.В.Семенников ставит вопрос о признании недействующей части одиннадцатой статьи 15310 ГПК Российской Федерации во взаимосвязи со статьей 120 Конституции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Порядок разрешения судом дела без проведения слушания призван создать условия для максимально быстрого и эффективного рассмотрения поставленного перед судом вопроса, не требующего присутствия в судебном заседании лиц, участвующих в деле, что делает возможным его применение в первую очередь в процессуальных формах судебного разбирательства, по итогам которого принимаются судебные постановления (определения) по процессуальным вопросам – без рассмотрения дела по существу, а следовательно, не определяющие материально-правовое положение сторон, т.е. решающие преимущественно вопросы права (постановления Конституционного Суда Российской Федерации от 30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Семенникова Евгения Владимировича, поскольку она не отвечает требованиям Федерального конституционного закона «О Конституционном 5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