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«Ярославский опытно- промышленный нефтемаслозавод имени Д.И.Менделеева» на нарушение его конституционных прав пунктами 8 и 31 Правил поставки газа в Российской Федерации, а также пунктом 16 Основных положений формирования и государственного регулирования цен на газ, тарифов на услуги по его транспортировке,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строительства, и газопроводов, предназначенных для транспортировки газа от месторождений природного газа до магистрального газопровода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«Ярославский опытно-промышленный нефтемаслозавод имени Д.И.Менделеева»»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«Ярославский опытно-промышленный нефтемаслозавод имени Д.И.Менделеева» (далее также – Общество) оспаривает конституционность следующих положений Правил поставки газа в Российской Федерации, утвержденных Постановлением Правительства Российской Федерации от 5 февраля 1998 года № 162: пункта 8, согласно которому порядок и условия транспортировки газа по газотранспортной системе устанавливаются газотранспортной или газораспределительной организацией и оформляются договором в соответствии с данными Правилами; пункта 31, закрепляющего, что условия оплаты транспортировки газа определяются договором транспортировки газа на основании тарифов на его транспортировку, устанавливаемых в порядке, определенном федеральными органами исполнительной власти. Также заявитель оспаривает пункт 16 Основных положений формирования и государственного регулирования цен на газ, тарифов на услуги по его транспортировке,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строительства, и газопроводов, предназначенных для транспортировки газа от месторождений природного газа до магистрального газопровода, утвержденных Постановлением Правительства Российской Федерации от 29 декабря 2000 года № 1021, согласно которому государственное регулирование цен (тарифов) осуществляется в установленном порядке на основании заявлений организаций, осуществляющих регулируемые виды деятельности, и по инициативе регулирующих органов; в отношении организации, которая в порядке универсального правопреемства приобретает в полном объеме в текущем периоде регулирования права и 3 обязанности организации, осуществляющей регулируемые виды деятельности, применяется тариф (цена, плата, надбавка), установленный для реорганизованной организации, до утверждения для организации – правопреемника тарифа (цены, платы, надбавки) в установленном порядке. Как следует из представленных материалов, постановлением арбитражного суда апелляционной инстанции, с которым согласились вышестоящие суды, отказано в удовлетворении требования Общества к поставщику газа о взыскании задолженности по оплате оказанных услуг по транспортировке газа по магистральному газопроводу-отводу, принадлежащему истцу. Суд пришел к выводу, что тариф в спорный период времени не был установлен для истца. По мнению заявителя, оспариваемые нормы противоречат статьям 15 (часть 4), 19 (части 1 и 2), 34 (часть 1), 35 (части 1 и 3) и 55 (часть 3) Конституции Российской Федерации, поскольку в отсутствие утвержденного уполномоченным органом тарифа на транспортировку газа поставщик газа, фактически пользуясь услугой по транспортировке газа, оказываемой ему новой газотранспортной организацией с использованием оборудования, ранее находившегося в эксплуатации у прежней организации (для которой ранее был установлен тариф), освобождается от обязанности оплачивать услуги по транспортировке газа до утверждения соответствующего тарифа для такой новой газотранспортной организации, притом что исключением из этого правила является только переход прав в порядке универсального правопреемства от прежней организации (в случае ее реорганизации).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действующие в системе правового регулирования, связывающего возможность взимания лицом платы за транспортировку газа при условии установления ему соответствующего 4 тарифа, направлены на достижение социально-значимых целей политики Российской Федерации в области газоснабжения, в том числе на улучшение социально-экономических условий жизни населения, обеспечивают защиту прав потребителей соответствующих услуг, предотвращая необоснованное установление и повышение платы за газ, и в этом качестве служат реализации предписаний статей 17 (часть 3) и 55 (часть 3) Конституции Российской Федерации. Данные положения не могут рассматриваться как нарушающие в обозначенном в жалобе аспекте конституционные права заявителя, в деле с участием которого суды исходили из того, что в спорный период ответчик не извлек дохода в связи с использованием имущества заявителя и не получил экономически необоснованной выгоды от такого использования. Проверка же правильности применения судами норм права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«Ярославский опытно-промышленный нефтемаслозавод имени Д.И.Менделеева»,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