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статьей 3 Федерального конституционного закона «О Конституционном Суде Российской Федерации», частями первой и десятой статьи 3795,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статьи 3 «Полномочия Конституционного Суда Российской Федерации» Федерального конституционного закона от 21 июля 1994 года № 1-ФКЗ «О Конституционном Суде Российской Федерации», частей первой и десятой статьи 3795 «Порядок рассмотрения дела кассационным судом общей юрисдикции»,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2 Как следует из представленных материалов, определением суда общей юрисдикции, оставленным без изменения судами вышестоящих инстанций, В.А.Дорохину отказано в удовлетворении заявления о пересмотре вступившего в законную силу решения того же суда по новым обстоятельствам, к каковым заявитель относил определения Конституционного Суда Российской Федерации от 19 декабря 2019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 Федерального конституционного закона «О Конституционном Суде Российской Федерации», конкретизируя статью 125 Конституции Российской Федерации, устанавливает полномочия Конституционного Суда Российской Федерации и не предполагает возможности применения судами норм права без учета соответствующих правовых позиций Конституционного Суда Российской Федерации, которые в силу статьи 6 этого Федерального конституционного закона имеют общеобязательный характер. Следовательно, данное законоположение не может расцениваться в качестве нарушающего конституционные права заявителя. Часть десятая статьи 3795 ГПК Российской Федерации предусматривает рассмотрение кассационных жалоб судьей кассационного суда общей юрисдикции на вступившие в законную силу судебные постановления единолично и без проведения судебного заседания, в частности, в том случае, когда предметом обжалования выступают определения районных судов и вынесенные по результатам их обжалования определения. При этом указанная норма закрепляет право суда вызвать участвующих в деле лиц в судебное заседание с учетом характера и сложности рассматриваемого вопроса, а также доводов кассационных жалобы, представления и возражений относительно них. Данный порядок рассмотрения судом кассационной инстанции кассационных жалоб, учитывая, что в форме определений судом первой инстанции выносятся судебные постановления, которыми дело не 4 разрешается по существу (статья 224 ГПК Российской Федерации), а пределы рассмотрения дела кассационным судом общей юрисдикции ограничиваются проверкой правильности применения и толкования нижестоящими судами норм права (статья 3796 того же Кодекса), соотносится с правовой позицией Конституционного Суда Российской Федерации, выраженной в постановлениях от 30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