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Шумилова Ильи Владимировича на нарушение его конституционных прав статьями 447–449 Гражданского кодекса Российской Федерации, частью 1 статьи 87, частью 1 статьи 89 и статьей 116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И.В.Шумилова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И.В.Шумилов оспаривает конституционность статей 447 «Заключение договора на торгах», 448 «Организация и порядок проведения торгов» и 449 «Основания и последствия признания торгов недействительными» ГК Российской Федерации, части 1 статьи 87 «Реализация имущества должника», части 1 статьи 89 «Реализация имущества должника на торгах» и статьи 116 «Расходы по совершению исполнительных действий» Федерального закона от 2 октября 2007 года № 229-ФЗ «Об исполнительном производстве». 2 Как следует из представленных материалов, решением суда общей юрисдикции, оставленным без изменения судами апелляционной и кассационной инстанций, И.В.Шумилову отказано в удовлетворении искового заявления к обществу с ограниченной ответственностью и территориальному управлению Росимущества о признании недействительной сделки, заключенной им как победителем торгов по реализации в ходе исполнительного производства заложенного недвижимого имущества должника. При этом судами были отклонены доводы заявителя о недействительности положений регламента проводившей данные торги электронной торговой площадки, устанавливающих, в частности, обязанность победителя на торгах уплачивать оператору такой площадки вознаграждение в процентном отношении к итоговой цене продажи имущества.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заявителя, оспариваемые им законоположения в той мере, в какой они в их системном единстве по смыслу, приданному им судами при рассмотрении конкретного дела, устанавливают правовое регулирование, позволяющее операторам электронных торговых площадок – при проведении торгов по реализации имущества во исполнение решений судов об обращении взыскания на это имущество – предусматривать в договорах присоединения, заключаемых с претендентами на участие в торгах, вознаграждение, подлежащее уплате оператору торговой площадки лицом, победившим на торгах: не соответствуют статьям 1, 2, 17, 18, 19 (части 1 и 2), 35 (части 1–3) и 55 (части 1 и 3) Конституции Российской Федерации, как несправедливо и чрезмерно ограничивающие право собственности участника торгов в размере вознаграждения оператора электронной торговой площадки; не соответствуют статьям 1 (часть 1), 4 (часть 2), 15 (части 1 и 2) и 19 (часть 1) Конституции Российской Федерации, как создающие правовую 3 неопределенность относительно источника финансирования процедуры реализации имущества, арестованного во исполнение решений судов; не соответствуют статьям 10, 11 (часть 1), 18, 118 (часть 1) и 120 (часть 1) Конституционного Суда Российской Федерации, как направленные на преодоление обязательной силы судебных актов; не соответствуют статье 34 (части 1 и 2) Конституции Российской Федерации, как направленные на ограничение свободы экономической деятельности и конкуренции в процедуре торгов.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447 ГК Российской Федерации, устанавливающие порядок заключения договора на торгах, статьи 448 данного Кодекса, регламентирующие организацию и порядок проведения торгов, статьи 449 указанного Кодекса, содержащие нормы об основаниях и последствиях признания торгов недействительными, обеспечивают реализацию имущественных прав участников торгов, достижение баланса их интересов при заключении договора на торгах и восстановление этих прав в случае их нарушения. Положения статьи 87 Федерального закона «Об исполнительном производстве», устанавливающие возможность и порядок реализации имущества должника, статьи 89 указанного Федерального закона, предусматривающие процедуру такой реализации на торгах, статьи 116 данного Федерального закона, содержащие понятие расходов по совершению исполнительных действий и примерный перечень такого рода расходов, направлены на выполнение задачи исполнительного производства по правильному и своевременному исполнению судебных актов, актов иных органов и должностных лиц как неотъемлемой части конституционных прав на государственную и судебную защиту прав и свобод и неукоснительное соблюдение таких принципов исполнительного производства, как законность и уважение чести и достоинства гражданина. 4 Данные законоположения, не регулирующие вопросов оплаты деятельности юридического лица, выступающего оператором электронной торговой площадки, на которой подлежит реализации то или иное имущество, в том числе имущество должников в исполнительном производстве, не могут расцениваться в качестве нарушающих в обозначенных в жалобе аспектах конституционные права заявителя, с учетом также того, что, как было установлено судами, заявитель был ознакомлен с соответствующими правилами до подачи заявки на участие в торгах, не выражал намерения согласовать иное их содержание, не представил доказательств монополизации конкретным оператором электронной торговой площадки рынка предоставляемых им услуг, что лишило бы его возможности обратиться к иным лицам для заключения договора, либо обременительности указанных правил в части размера вознаграждения. Установление же и исследование фактических обстоятельств конкретного дела, оценка доказательств, послуживших основанием для применения в деле тех или иных норм права, не относятся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Шумилова Ильи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