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Директоренко Валентины Владимировны на нарушение ее конституционных прав пунктом 3 статьи 253 Гражданского кодекса Российской Федерации и абзацем вторым пункта 2 статьи 35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В.В.Директоренко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В.В.Директоренко оспаривает конституционность следующих норм: пункта 3 статьи 253 ГК Российской Федерации, предусматривающего, что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2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 абзаца второго пункта 2 статьи 35 Семейного кодекса Российской Федерации, закрепляющего, что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иска В.В.Директоренко, в котором она, в частности, требовала признать заключенный ее бывшим супругом договор купли-продажи жилого помещения недействительным, применить последствия недействительности сделки и признать за ней долю в праве собственности на жилое помещение. Суд апелляционной инстанции, среди прочего, указал, что заявительница не доказала осведомленности покупателя об отсутствии ее согласия на совершение сделки. В передаче кассационной жалобы В.В.Директоренко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19 (часть 1), 35 (часть 3) и 55 (часть 2)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применяются при разделе недвижимого имущества супругов, брак которых расторгнут, по истечении значительного 3 промежутка времени после расторжения брака, если право собственности на объект недвижимости было зарегистрировано за супругом, совершившим оспариваемую сделку, после расторжения брака.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Положение пункта 3 статьи 253 ГК Российской Федерации, допускающее признание указанной в нем сделки недействительной только в случае, если доказано, что другая сторона в сделке знала или заведомо должна была знать об этом, развивает неоднократно упомянутый в решениях Конституционного Суда Российской Федерации принцип защиты добросовестных участников гражданского оборота, проявляющих при совершении сделки добрую волю, разумную осмотрительность и осторожность (постановления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Директоренко Валентины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