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Репы Юлии Витальевны на нарушение ее конституционных прав пунктом 1 статьи 222 Гражданского кодекса Российской Федерации и статьей 1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Ю.В.Репы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Ю.В.Репа оспаривает конституционность пункта 1 статьи 222 «Самовольная постройка» ГК Российской Федерации и статьи 1 (а фактически – ее части 1) «Предмет регулирования настоящего Федерального закона» Федерального закона от 30 декабря 2004 года № 214- 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их взаимосвязи. 2 Как следует из представленных материалов, определением суда апелляционной инстанции при новом рассмотрении дела оставлено без изменения решение суда общей юрисдикции, которым административное исковое требование Ю.В.Репы к публично-правовой компании (далее – компания) о признании решения незаконным удовлетворено, ответ компании о том, что объект незавершенного строительства не подлежит включению в единый реестр проблемных объектов, признан незаконным. Определением суда кассационной инстанции указанные судебные акты отменены, по делу принято новое решение, которым в удовлетворении требования Ю.В.Репы отказано. Суд кассационной инстанции отметил среди прочего, что согласно Обзору практики разрешения судами споров, возникающих в связи с участием граждан в долевом строительстве многоквартирных домов и иных объектов недвижимости, утвержденному Президиумом Верховного Суда Российской Федерации 4 декабря 2013 года (далее – Обзор), действие названного Федерального закона не распространяется на отношения, возникающие при осуществлении самовольной постройки. В передаче кассационной жалобы Ю.В.Репы на данное определение суда кассационной инстанции для рассмотрения в судебном заседании Судебной коллегии по административным делам Верховного Суда Российской Федерации было отказано. По мнению заявительницы, оспариваемые положения в их взаимосвязи с учетом разъяснений, содержащихся в Обзоре, противоречат Конституции Российской Федерации, в частности ее статьям 19, 35, 40 и 46, поскольку они лишают заявительницу возможности судебной защиты прав, нарушенных застройщиком, создают правовую неопределенность в вопросе применения норм упомянутого Федерального закона к правоотношениям между застройщиком и участником долевого строительства.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Часть 1 статьи 1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служит обеспечению надлежащего правового регулирования отношений, связанных с привлечением денежных средств граждан и юридических лиц для долевого строительства многоквартирных домов и (или) иных объектов недвижимости и возникновением у участников долевого строительства права собственности на объекты долевого строительства (Определение Конституционного Суда Российской Федерации от 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Репы Юлии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