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«Альфа Строй» на нарушение его конституционных прав частью 2 статьи 215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«Альфа 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«Альфа Строй» оспаривает конституционность части 2 статьи 215 «Решение суда по административному делу об оспаривании нормативного правового акта» КАС Российской Федерации. Как следует из представленных материалов, апелляционным определением апелляционного суда общей юрисдикции, с которым согласились суды вышестоящих инстанций, отказано в удовлетворении требований заявителя о признании недействующими части 3 статьи 5 Закона Краснодарского края от 27 апреля 2007 года № 1229-КЗ «Об обеспечении беспрепятственного доступа маломобильных граждан к объектам 2 социальной, транспортной и инженерной инфраструктур, информации и связи в Краснодарском крае» и постановления главы администрации Краснодарского края от 8 октября 2007 года № 950 «О согласовании заданий на проектирование объектов социальной инфраструктуры при их строительстве, реконструкции и капитальном ремонте с управлениями социальной защиты населения в муниципальных образованиях Краснодарского края в части обеспечения беспрепятственного доступа к ним маломобильных граждан». При этом суды указали, что федеральное законодательство содержит требования по обеспечению доступа маломобильных групп населения к объекту капитального строительства и принятие нового федерального законодательства, направленного на сокращение сроков строительства объектов капитального строительства, не исключает обязанности предоставления застройщиком (техническим заказчиком) для проведения экспертизы проектной документации в качестве одного из документов задания на проектирование, согласованного с территориальными органами социальной защиты населения. По мнению заявителя, часть 2 статьи 215 КАС Российской Федерации противоречит статье 120 (часть 2) Конституции Российской Федерации в той мере, в какой она позволяет отказывать в удовлетворении заявленных требований о признании недействующим нормативного правового акта полностью или в части со ссылкой на то, что оспариваемый нормативный правовой акт соответствует любому иному, а не указанному административным истцом, нормативному правовому акту, имеющему большую юридическую силу, и даже формально не оценивать соответствие оспариваемого нормативного правового акта указанному заявителем нормативному правовому акту, имеющему большую юридическую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«Альфа Строй», поскольку она не отвечает 5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