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«Восточное направление» на нарушение его конституционных прав статьей 13 Федерального закона «О транспортно-экспедиционной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общества с ограниченной ответственностью «Восточное направление»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«Восточное направление» (также – общество) оспаривает конституционность статьи 13 Федерального закона от 30 июня 2003 года № 87-ФЗ «О транспортно- экспедиционной деятельности», согласно которой для требований, вытекающих из договора транспортной экспедиции, срок исковой давности составляет один год; указанный срок исчисляется со дня возникновения права на предъявление иска. Как следует из представленных материалов, решением арбитражного суда, с которым согласились вышестоящие суды, частично удовлетворен иск 2 общества к коммерческой организации о взыскании задолженности по договору и процентов за пользование чужими денежными средствами. Частично удовлетворяя исковые требования, суд исходил из пропуска истцом срока исковой давности по части заявленных требований, вытекающих из договора транспортной экспедиции. По мнению заявителя, оспариваемая норма противоречит статьям 19 (часть 1) и 46 (часть 1) Конституции Российской Федерации, поскольку, устанавливая сокращенный срок исковой давности по требованиям, вытекающим из договора транспортной экспедиции, нарушает равенство прав участников гражданских правоотношений в связи с тем, что для защиты прав участников схожих правоотношений (поставка, оказание услуг) законом установлены трехлетние сроки исковой давности, а также не позволяет в должной мере реализовать право на судебную защиту экспедитора при удержании его клиентом платы экспедитору по поступлении претензий клиенту от налогового органа, которые могут быть заявлены в течение трех лет, предшествовавших назначению налоговой проверки. Кроме того, общество просит отменить правоприменительные решения по делу с его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Гражданскому кодексу Российской Федерации общий срок исковой давности составляет три года, но для отдельных видов требований законом могут устанавливаться специальные сроки (статьи 196 и 197). Установление в законе срока исковой давности (т.е. срока для защиты интересов лица, право которого нарушено), а также последствий его пропуска обусловлено необходимостью обеспечить стабильность гражданского оборота и не может рассматриваться как нарушающее какие- либо конституционные права (определения Конституционного Суда Российской Федерации от 25 февраля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«Восточное направление»,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