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Лисицыной Ирины Ивановны на нарушение ее конституционных прав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И.И.Лисицыной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И.И.Лисицына оспаривает конституционность части второй статьи 135 Трудового кодекса Российской Федерации,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2 По мнению заявительницы, оспариваемое положение не соответствует статьям 19 (части 1 и 2), 37 (часть 3), 55 (часть 3), 75 (часть 5) и 751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предоставляет работодателю ничем не ограниченное право произвольно устанавливать правила исчисления отдельных выплат, входящих в состав заработной платы, и тем самым – во взаимосвязи с соответствующими положениями коллективного договора и (или) локальных нормативных актов – позволяет без учета количества и качества затраченного труда, а также иных объективных критериев уменьшать размер заработной платы работника либо лишать его входящих в состав его заработной платы стимулирующих выплат, право на получение которых обусловлено достижением определенных результатов труда. Оспариваемая норма применена в деле заявительницы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Лисицыной Ирины Ивановны,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